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Theme="minorEastAsia" w:hAnsiTheme="minorEastAsia" w:eastAsiaTheme="minorEastAsia"/>
          <w:b/>
          <w:sz w:val="32"/>
          <w:szCs w:val="32"/>
          <w:lang w:eastAsia="zh-CN"/>
        </w:rPr>
        <w:t>广播电视新闻采访与写作2</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0"/>
        <w:gridCol w:w="1557"/>
        <w:gridCol w:w="623"/>
        <w:gridCol w:w="1550"/>
        <w:gridCol w:w="1667"/>
        <w:gridCol w:w="279"/>
        <w:gridCol w:w="876"/>
        <w:gridCol w:w="552"/>
        <w:gridCol w:w="385"/>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广播电视新闻采访与写作2</w:t>
            </w:r>
          </w:p>
        </w:tc>
        <w:tc>
          <w:tcPr>
            <w:tcW w:w="4852"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b/>
                <w:sz w:val="21"/>
                <w:szCs w:val="21"/>
                <w:lang w:val="en-US" w:eastAsia="zh-CN"/>
              </w:rPr>
              <w:t>interview and writing for Radio and TV news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val="en-US" w:eastAsia="zh-CN"/>
              </w:rPr>
              <w:t>54/3/3</w:t>
            </w:r>
          </w:p>
        </w:tc>
        <w:tc>
          <w:tcPr>
            <w:tcW w:w="4852"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val="en-US" w:eastAsia="zh-CN"/>
              </w:rPr>
              <w:t>新闻学原理、广播电视新闻采访与写作1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sz w:val="21"/>
                <w:szCs w:val="21"/>
                <w:lang w:val="en-US" w:eastAsia="zh-CN"/>
              </w:rPr>
              <w:t>周一5-7节</w:t>
            </w:r>
          </w:p>
        </w:tc>
        <w:tc>
          <w:tcPr>
            <w:tcW w:w="4852" w:type="dxa"/>
            <w:gridSpan w:val="6"/>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sz w:val="21"/>
                <w:szCs w:val="21"/>
                <w:lang w:val="en-US" w:eastAsia="zh-CN"/>
              </w:rPr>
              <w:t>6C102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sz w:val="21"/>
                <w:szCs w:val="21"/>
                <w:lang w:val="en-US" w:eastAsia="zh-CN"/>
              </w:rPr>
              <w:t>2016级广播电视学专业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sz w:val="21"/>
                <w:szCs w:val="21"/>
                <w:lang w:val="en-US"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sz w:val="21"/>
                <w:szCs w:val="21"/>
                <w:lang w:val="en-US" w:eastAsia="zh-CN"/>
              </w:rPr>
              <w:t>戴姝英/教授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val="en-US" w:eastAsia="zh-CN"/>
              </w:rPr>
              <w:t>639411</w:t>
            </w:r>
          </w:p>
        </w:tc>
        <w:tc>
          <w:tcPr>
            <w:tcW w:w="4852" w:type="dxa"/>
            <w:gridSpan w:val="6"/>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val="en-US" w:eastAsia="zh-CN"/>
              </w:rPr>
              <w:t>479385803@qq.com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sz w:val="21"/>
                <w:szCs w:val="21"/>
                <w:lang w:val="en-US" w:eastAsia="zh-CN"/>
              </w:rPr>
              <w:t>课外 10B101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401" w:type="dxa"/>
            <w:gridSpan w:val="11"/>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after="0" w:line="0" w:lineRule="atLeast"/>
              <w:outlineLvl w:val="0"/>
              <w:rPr>
                <w:rFonts w:hint="eastAsia" w:ascii="宋体" w:hAnsi="宋体" w:eastAsia="宋体" w:cs="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cs="宋体"/>
                <w:b/>
                <w:bCs/>
                <w:sz w:val="21"/>
                <w:szCs w:val="21"/>
              </w:rPr>
              <w:t>《广播电视新闻采访与写作第二版》，赵淑萍，北京师范大学出版社，2015年</w:t>
            </w:r>
          </w:p>
          <w:p>
            <w:pPr>
              <w:tabs>
                <w:tab w:val="left" w:pos="1440"/>
              </w:tabs>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sz w:val="21"/>
                <w:szCs w:val="21"/>
              </w:rPr>
              <w:t>《探索新闻》、《公众舆论》、《一个自由而负责的新闻界》、《信息时代的新闻价值》、《新闻写作与报道训练教程》、《创造性的采访》、《华尔街日报是如何讲故事的》、《风云人物采访录》</w:t>
            </w:r>
            <w:r>
              <w:rPr>
                <w:rFonts w:hint="eastAsia" w:ascii="宋体" w:hAnsi="宋体" w:eastAsia="宋体" w:cs="宋体"/>
                <w:b/>
                <w:bCs/>
                <w:sz w:val="21"/>
                <w:szCs w:val="21"/>
                <w:lang w:eastAsia="zh-CN"/>
              </w:rPr>
              <w:t>。</w:t>
            </w:r>
            <w:r>
              <w:rPr>
                <w:rFonts w:hint="eastAsia" w:ascii="宋体" w:hAnsi="宋体" w:eastAsia="宋体" w:cs="宋体"/>
                <w:b/>
                <w:bCs/>
                <w:sz w:val="21"/>
                <w:szCs w:val="21"/>
              </w:rPr>
              <w:t>选读《中国记者》、《三联生活周刊》《中国新闻周刊》等期刊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tabs>
                <w:tab w:val="left" w:pos="1440"/>
              </w:tabs>
              <w:spacing w:line="360" w:lineRule="exact"/>
              <w:ind w:firstLine="422" w:firstLineChars="200"/>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b/>
                <w:bCs/>
                <w:sz w:val="21"/>
                <w:szCs w:val="21"/>
              </w:rPr>
              <w:t>广播电视新闻采访与写作是广播电视新闻学专业的基础主干与核心课程。本课程通过理论教学与采写实践活动紧密结合，使学生较为全面地了解新闻采访与写作的基本原理和基本知识；熟悉新闻采访与写作的基本程序；掌握各类新闻体裁、样式的概念、特点及采写或制作的要求与方法；能够运用新闻采访与写作的基本知识和技能分析新闻作品；提升新闻专业素养，提高观察能力、采访沟通能力、现场报道能力和新闻写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hint="eastAsia" w:ascii="宋体" w:hAnsi="宋体" w:eastAsia="宋体"/>
                <w:b/>
                <w:sz w:val="21"/>
                <w:szCs w:val="21"/>
                <w:lang w:eastAsia="zh-CN"/>
              </w:rPr>
            </w:pP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360" w:lineRule="auto"/>
              <w:ind w:firstLine="422" w:firstLineChars="200"/>
              <w:outlineLvl w:val="0"/>
              <w:rPr>
                <w:rFonts w:hint="eastAsia" w:ascii="宋体" w:hAnsi="宋体" w:eastAsia="宋体" w:cs="宋体"/>
                <w:b/>
                <w:bCs/>
                <w:sz w:val="21"/>
                <w:szCs w:val="21"/>
                <w:lang w:eastAsia="zh-CN"/>
              </w:rPr>
            </w:pPr>
            <w:r>
              <w:rPr>
                <w:rFonts w:hint="eastAsia" w:ascii="宋体" w:hAnsi="宋体" w:eastAsia="宋体"/>
                <w:b/>
                <w:sz w:val="21"/>
                <w:szCs w:val="21"/>
                <w:lang w:eastAsia="zh-CN"/>
              </w:rPr>
              <w:t>1.</w:t>
            </w:r>
            <w:r>
              <w:rPr>
                <w:rFonts w:hint="eastAsia" w:ascii="宋体" w:hAnsi="宋体" w:eastAsia="宋体"/>
                <w:b/>
                <w:sz w:val="21"/>
                <w:szCs w:val="21"/>
                <w:lang w:val="en-US" w:eastAsia="zh-CN"/>
              </w:rPr>
              <w:t>使学生</w:t>
            </w:r>
            <w:r>
              <w:rPr>
                <w:rFonts w:hint="eastAsia" w:ascii="宋体" w:hAnsi="宋体" w:eastAsia="宋体" w:cs="宋体"/>
                <w:b/>
                <w:bCs/>
                <w:sz w:val="21"/>
                <w:szCs w:val="21"/>
              </w:rPr>
              <w:t>了解新闻采访与写作的基本原理和技巧</w:t>
            </w:r>
          </w:p>
          <w:p>
            <w:pPr>
              <w:tabs>
                <w:tab w:val="left" w:pos="1440"/>
              </w:tabs>
              <w:spacing w:after="0" w:line="360" w:lineRule="auto"/>
              <w:ind w:firstLine="422" w:firstLineChars="200"/>
              <w:outlineLvl w:val="0"/>
              <w:rPr>
                <w:rFonts w:hint="eastAsia" w:ascii="宋体" w:hAnsi="宋体" w:eastAsia="宋体" w:cs="宋体"/>
                <w:b/>
                <w:bCs/>
                <w:sz w:val="21"/>
                <w:szCs w:val="21"/>
                <w:lang w:eastAsia="zh-CN"/>
              </w:rPr>
            </w:pPr>
            <w:r>
              <w:rPr>
                <w:rFonts w:hint="eastAsia" w:ascii="宋体" w:hAnsi="宋体" w:eastAsia="宋体"/>
                <w:b/>
                <w:sz w:val="21"/>
                <w:szCs w:val="21"/>
                <w:lang w:eastAsia="zh-CN"/>
              </w:rPr>
              <w:t>2.</w:t>
            </w:r>
            <w:r>
              <w:rPr>
                <w:rFonts w:hint="eastAsia" w:ascii="宋体" w:hAnsi="宋体" w:eastAsia="宋体" w:cs="宋体"/>
                <w:b/>
                <w:bCs/>
                <w:sz w:val="21"/>
                <w:szCs w:val="21"/>
              </w:rPr>
              <w:t>培养</w:t>
            </w:r>
            <w:r>
              <w:rPr>
                <w:rFonts w:hint="eastAsia" w:ascii="宋体" w:hAnsi="宋体" w:eastAsia="宋体" w:cs="宋体"/>
                <w:b/>
                <w:bCs/>
                <w:sz w:val="21"/>
                <w:szCs w:val="21"/>
                <w:lang w:val="en-US" w:eastAsia="zh-CN"/>
              </w:rPr>
              <w:t>学生的</w:t>
            </w:r>
            <w:r>
              <w:rPr>
                <w:rFonts w:hint="eastAsia" w:ascii="宋体" w:hAnsi="宋体" w:eastAsia="宋体" w:cs="宋体"/>
                <w:b/>
                <w:bCs/>
                <w:sz w:val="21"/>
                <w:szCs w:val="21"/>
              </w:rPr>
              <w:t>新闻敏感性和发现、判断新闻的专业素养</w:t>
            </w:r>
          </w:p>
          <w:p>
            <w:pPr>
              <w:tabs>
                <w:tab w:val="left" w:pos="1440"/>
              </w:tabs>
              <w:spacing w:after="0" w:line="360" w:lineRule="auto"/>
              <w:ind w:firstLine="422" w:firstLineChars="200"/>
              <w:outlineLvl w:val="0"/>
              <w:rPr>
                <w:rFonts w:hint="eastAsia" w:ascii="宋体" w:hAnsi="宋体" w:eastAsia="宋体" w:cs="宋体"/>
                <w:b/>
                <w:bCs/>
                <w:sz w:val="21"/>
                <w:szCs w:val="21"/>
                <w:lang w:eastAsia="zh-CN"/>
              </w:rPr>
            </w:pPr>
            <w:r>
              <w:rPr>
                <w:rFonts w:hint="eastAsia" w:ascii="宋体" w:hAnsi="宋体" w:eastAsia="宋体"/>
                <w:b/>
                <w:sz w:val="21"/>
                <w:szCs w:val="21"/>
                <w:lang w:eastAsia="zh-CN"/>
              </w:rPr>
              <w:t>3.</w:t>
            </w:r>
            <w:r>
              <w:rPr>
                <w:rFonts w:hint="eastAsia" w:ascii="宋体" w:hAnsi="宋体" w:eastAsia="宋体" w:cs="宋体"/>
                <w:b/>
                <w:bCs/>
                <w:sz w:val="21"/>
                <w:szCs w:val="21"/>
              </w:rPr>
              <w:t>能完成广播电视新闻的采访与编辑制作</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5"/>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55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372" w:type="dxa"/>
            <w:gridSpan w:val="4"/>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93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记者出镜报道</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出镜作业的问题与提高</w:t>
            </w:r>
          </w:p>
        </w:tc>
        <w:tc>
          <w:tcPr>
            <w:tcW w:w="937"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同期声的运用</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电视新闻同期声的采录与编辑技巧</w:t>
            </w:r>
          </w:p>
        </w:tc>
        <w:tc>
          <w:tcPr>
            <w:tcW w:w="937"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剪辑练习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电视新闻的声画关系</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电视新闻画面的采编规律</w:t>
            </w:r>
          </w:p>
        </w:tc>
        <w:tc>
          <w:tcPr>
            <w:tcW w:w="937"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新闻特写</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电视新闻特写的采写技巧</w:t>
            </w:r>
          </w:p>
        </w:tc>
        <w:tc>
          <w:tcPr>
            <w:tcW w:w="937"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寻找选题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7/8</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调查性报道</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4372" w:type="dxa"/>
            <w:gridSpan w:val="4"/>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调查性报道的特点与采写要求</w:t>
            </w:r>
          </w:p>
        </w:tc>
        <w:tc>
          <w:tcPr>
            <w:tcW w:w="937"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55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调查报道选题评析</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vAlign w:val="center"/>
          </w:tcPr>
          <w:p>
            <w:pPr>
              <w:spacing w:after="0" w:line="0" w:lineRule="atLeast"/>
              <w:rPr>
                <w:rFonts w:ascii="宋体" w:hAnsi="宋体" w:eastAsia="宋体"/>
                <w:sz w:val="21"/>
                <w:szCs w:val="21"/>
              </w:rPr>
            </w:pPr>
            <w:r>
              <w:rPr>
                <w:rFonts w:hint="eastAsia" w:ascii="宋体" w:hAnsi="宋体" w:eastAsia="宋体" w:cs="宋体"/>
                <w:sz w:val="21"/>
                <w:szCs w:val="21"/>
              </w:rPr>
              <w:t>主题价值与可行性分析；理解并能运用选题确立原则</w:t>
            </w:r>
          </w:p>
        </w:tc>
        <w:tc>
          <w:tcPr>
            <w:tcW w:w="937"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多媒体</w:t>
            </w:r>
          </w:p>
        </w:tc>
        <w:tc>
          <w:tcPr>
            <w:tcW w:w="1093"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14/15</w:t>
            </w:r>
          </w:p>
        </w:tc>
        <w:tc>
          <w:tcPr>
            <w:tcW w:w="155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人物报道与人物专访</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6</w:t>
            </w:r>
          </w:p>
        </w:tc>
        <w:tc>
          <w:tcPr>
            <w:tcW w:w="4372"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rPr>
            </w:pPr>
            <w:r>
              <w:rPr>
                <w:rFonts w:hint="eastAsia" w:ascii="宋体" w:hAnsi="宋体" w:eastAsia="宋体" w:cs="宋体"/>
                <w:sz w:val="21"/>
                <w:szCs w:val="21"/>
              </w:rPr>
              <w:t>人物访谈与消息报道的区别</w:t>
            </w:r>
            <w:r>
              <w:rPr>
                <w:rFonts w:hint="eastAsia" w:ascii="宋体" w:hAnsi="宋体" w:eastAsia="宋体" w:cs="宋体"/>
                <w:sz w:val="21"/>
                <w:szCs w:val="21"/>
                <w:lang w:eastAsia="zh-CN"/>
              </w:rPr>
              <w:t>；</w:t>
            </w:r>
            <w:r>
              <w:rPr>
                <w:rFonts w:hint="eastAsia" w:ascii="宋体" w:hAnsi="宋体" w:eastAsia="宋体" w:cs="宋体"/>
                <w:sz w:val="21"/>
                <w:szCs w:val="21"/>
              </w:rPr>
              <w:t>访谈的话题路径设计</w:t>
            </w:r>
          </w:p>
        </w:tc>
        <w:tc>
          <w:tcPr>
            <w:tcW w:w="93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多媒体</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小组策划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val="en-US" w:eastAsia="zh-CN"/>
              </w:rPr>
            </w:pPr>
            <w:r>
              <w:rPr>
                <w:rFonts w:hint="eastAsia" w:ascii="宋体" w:hAnsi="宋体" w:eastAsia="宋体"/>
                <w:sz w:val="21"/>
                <w:szCs w:val="21"/>
                <w:lang w:val="en-US" w:eastAsia="zh-CN"/>
              </w:rPr>
              <w:t>18</w:t>
            </w:r>
          </w:p>
        </w:tc>
        <w:tc>
          <w:tcPr>
            <w:tcW w:w="155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课堂集体辅导答疑</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372"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3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val="en-US" w:eastAsia="zh-CN"/>
              </w:rPr>
            </w:pPr>
            <w:r>
              <w:rPr>
                <w:rFonts w:hint="eastAsia" w:ascii="宋体" w:hAnsi="宋体" w:eastAsia="宋体"/>
                <w:sz w:val="21"/>
                <w:szCs w:val="21"/>
                <w:lang w:val="en-US" w:eastAsia="zh-CN"/>
              </w:rPr>
              <w:t>19</w:t>
            </w:r>
          </w:p>
        </w:tc>
        <w:tc>
          <w:tcPr>
            <w:tcW w:w="155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bookmarkStart w:id="0" w:name="_GoBack"/>
            <w:bookmarkEnd w:id="0"/>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c>
          <w:tcPr>
            <w:tcW w:w="4372"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3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c>
          <w:tcPr>
            <w:tcW w:w="155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c>
          <w:tcPr>
            <w:tcW w:w="4372"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3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30</w:t>
            </w:r>
          </w:p>
        </w:tc>
        <w:tc>
          <w:tcPr>
            <w:tcW w:w="4372" w:type="dxa"/>
            <w:gridSpan w:val="4"/>
            <w:tcBorders>
              <w:top w:val="single" w:color="auto" w:sz="4" w:space="0"/>
            </w:tcBorders>
            <w:vAlign w:val="center"/>
          </w:tcPr>
          <w:p>
            <w:pPr>
              <w:spacing w:after="0" w:line="0" w:lineRule="atLeast"/>
              <w:rPr>
                <w:rFonts w:ascii="宋体" w:hAnsi="宋体" w:eastAsia="宋体"/>
                <w:sz w:val="21"/>
                <w:szCs w:val="21"/>
              </w:rPr>
            </w:pPr>
          </w:p>
        </w:tc>
        <w:tc>
          <w:tcPr>
            <w:tcW w:w="937"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6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496"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428" w:type="dxa"/>
            <w:gridSpan w:val="2"/>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47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617"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新闻特写采写</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3496"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特写的角度选择与画面捕捉</w:t>
            </w:r>
          </w:p>
        </w:tc>
        <w:tc>
          <w:tcPr>
            <w:tcW w:w="142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综合</w:t>
            </w:r>
          </w:p>
        </w:tc>
        <w:tc>
          <w:tcPr>
            <w:tcW w:w="147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课外实验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6</w:t>
            </w:r>
          </w:p>
        </w:tc>
        <w:tc>
          <w:tcPr>
            <w:tcW w:w="1617" w:type="dxa"/>
            <w:gridSpan w:val="2"/>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特写实践点评</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3</w:t>
            </w:r>
          </w:p>
        </w:tc>
        <w:tc>
          <w:tcPr>
            <w:tcW w:w="3496"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特写的写作与声画组合</w:t>
            </w:r>
          </w:p>
        </w:tc>
        <w:tc>
          <w:tcPr>
            <w:tcW w:w="142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综合</w:t>
            </w:r>
          </w:p>
        </w:tc>
        <w:tc>
          <w:tcPr>
            <w:tcW w:w="147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课外实验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10/12</w:t>
            </w:r>
          </w:p>
        </w:tc>
        <w:tc>
          <w:tcPr>
            <w:tcW w:w="1617" w:type="dxa"/>
            <w:gridSpan w:val="2"/>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调查报道实践</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9</w:t>
            </w:r>
          </w:p>
        </w:tc>
        <w:tc>
          <w:tcPr>
            <w:tcW w:w="3496" w:type="dxa"/>
            <w:gridSpan w:val="3"/>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就热点话题或事件进行调查报道</w:t>
            </w:r>
          </w:p>
        </w:tc>
        <w:tc>
          <w:tcPr>
            <w:tcW w:w="142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综合</w:t>
            </w:r>
          </w:p>
        </w:tc>
        <w:tc>
          <w:tcPr>
            <w:tcW w:w="147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课外实验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1617" w:type="dxa"/>
            <w:gridSpan w:val="2"/>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调查实践点评</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3</w:t>
            </w:r>
          </w:p>
        </w:tc>
        <w:tc>
          <w:tcPr>
            <w:tcW w:w="3496"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调查过程的展示与证据的验证</w:t>
            </w:r>
          </w:p>
        </w:tc>
        <w:tc>
          <w:tcPr>
            <w:tcW w:w="142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综合</w:t>
            </w:r>
          </w:p>
        </w:tc>
        <w:tc>
          <w:tcPr>
            <w:tcW w:w="147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课外实验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9"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16-17</w:t>
            </w:r>
          </w:p>
        </w:tc>
        <w:tc>
          <w:tcPr>
            <w:tcW w:w="1617" w:type="dxa"/>
            <w:gridSpan w:val="2"/>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人物专访实践</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3496" w:type="dxa"/>
            <w:gridSpan w:val="3"/>
            <w:vAlign w:val="center"/>
          </w:tcPr>
          <w:p>
            <w:pPr>
              <w:spacing w:after="0" w:line="0" w:lineRule="atLeast"/>
              <w:rPr>
                <w:rFonts w:ascii="宋体" w:hAnsi="宋体" w:eastAsia="宋体"/>
                <w:sz w:val="21"/>
                <w:szCs w:val="21"/>
              </w:rPr>
            </w:pPr>
            <w:r>
              <w:rPr>
                <w:rFonts w:hint="eastAsia" w:ascii="宋体" w:hAnsi="宋体" w:eastAsia="宋体" w:cs="宋体"/>
                <w:sz w:val="21"/>
                <w:szCs w:val="21"/>
              </w:rPr>
              <w:t>谈话路径的把控</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后期编辑的再加工</w:t>
            </w:r>
          </w:p>
        </w:tc>
        <w:tc>
          <w:tcPr>
            <w:tcW w:w="142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综合</w:t>
            </w:r>
          </w:p>
        </w:tc>
        <w:tc>
          <w:tcPr>
            <w:tcW w:w="1478"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课外实验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24</w:t>
            </w:r>
          </w:p>
        </w:tc>
        <w:tc>
          <w:tcPr>
            <w:tcW w:w="3496" w:type="dxa"/>
            <w:gridSpan w:val="3"/>
            <w:vAlign w:val="center"/>
          </w:tcPr>
          <w:p>
            <w:pPr>
              <w:spacing w:after="0" w:line="0" w:lineRule="atLeast"/>
              <w:rPr>
                <w:rFonts w:ascii="宋体" w:hAnsi="宋体" w:eastAsia="宋体"/>
                <w:sz w:val="21"/>
                <w:szCs w:val="21"/>
              </w:rPr>
            </w:pPr>
          </w:p>
        </w:tc>
        <w:tc>
          <w:tcPr>
            <w:tcW w:w="1428" w:type="dxa"/>
            <w:gridSpan w:val="2"/>
            <w:vAlign w:val="center"/>
          </w:tcPr>
          <w:p>
            <w:pPr>
              <w:spacing w:after="0" w:line="0" w:lineRule="atLeast"/>
              <w:rPr>
                <w:rFonts w:ascii="宋体" w:hAnsi="宋体" w:eastAsia="宋体"/>
                <w:sz w:val="21"/>
                <w:szCs w:val="21"/>
              </w:rPr>
            </w:pPr>
          </w:p>
        </w:tc>
        <w:tc>
          <w:tcPr>
            <w:tcW w:w="1478" w:type="dxa"/>
            <w:gridSpan w:val="2"/>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547"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478"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到堂情况</w:t>
            </w:r>
          </w:p>
        </w:tc>
        <w:tc>
          <w:tcPr>
            <w:tcW w:w="5547" w:type="dxa"/>
            <w:gridSpan w:val="6"/>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不迟到、不早退、不旷课</w:t>
            </w:r>
          </w:p>
        </w:tc>
        <w:tc>
          <w:tcPr>
            <w:tcW w:w="1478" w:type="dxa"/>
            <w:gridSpan w:val="2"/>
            <w:vAlign w:val="center"/>
          </w:tcPr>
          <w:p>
            <w:pPr>
              <w:snapToGrid w:val="0"/>
              <w:ind w:left="180" w:leftChars="0"/>
              <w:jc w:val="center"/>
              <w:rPr>
                <w:rFonts w:hint="eastAsia" w:ascii="宋体" w:hAnsi="宋体" w:eastAsia="宋体" w:cs="宋体"/>
                <w:sz w:val="21"/>
                <w:szCs w:val="21"/>
              </w:rPr>
            </w:pPr>
            <w:r>
              <w:rPr>
                <w:rFonts w:hint="eastAsia" w:ascii="宋体" w:hAnsi="宋体" w:eastAsia="宋体" w:cs="宋体"/>
                <w:sz w:val="21"/>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课堂</w:t>
            </w:r>
            <w:r>
              <w:rPr>
                <w:rFonts w:hint="eastAsia" w:ascii="宋体" w:hAnsi="宋体" w:eastAsia="宋体" w:cs="宋体"/>
                <w:sz w:val="21"/>
                <w:szCs w:val="21"/>
                <w:lang w:val="en-US" w:eastAsia="zh-CN"/>
              </w:rPr>
              <w:t>表现</w:t>
            </w:r>
          </w:p>
        </w:tc>
        <w:tc>
          <w:tcPr>
            <w:tcW w:w="5547" w:type="dxa"/>
            <w:gridSpan w:val="6"/>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课前准备充分，课堂积极发言</w:t>
            </w:r>
          </w:p>
        </w:tc>
        <w:tc>
          <w:tcPr>
            <w:tcW w:w="1478" w:type="dxa"/>
            <w:gridSpan w:val="2"/>
            <w:vAlign w:val="center"/>
          </w:tcPr>
          <w:p>
            <w:pPr>
              <w:snapToGrid w:val="0"/>
              <w:ind w:left="180" w:leftChars="0"/>
              <w:jc w:val="center"/>
              <w:rPr>
                <w:rFonts w:hint="eastAsia" w:ascii="宋体" w:hAnsi="宋体" w:eastAsia="宋体" w:cs="宋体"/>
                <w:sz w:val="21"/>
                <w:szCs w:val="21"/>
              </w:rPr>
            </w:pPr>
            <w:r>
              <w:rPr>
                <w:rFonts w:hint="eastAsia" w:ascii="宋体" w:hAnsi="宋体" w:eastAsia="宋体" w:cs="宋体"/>
                <w:sz w:val="21"/>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作业完成</w:t>
            </w:r>
          </w:p>
        </w:tc>
        <w:tc>
          <w:tcPr>
            <w:tcW w:w="5547" w:type="dxa"/>
            <w:gridSpan w:val="6"/>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按时按量完成，根据质量判定评分等级</w:t>
            </w:r>
          </w:p>
        </w:tc>
        <w:tc>
          <w:tcPr>
            <w:tcW w:w="1478" w:type="dxa"/>
            <w:gridSpan w:val="2"/>
            <w:vAlign w:val="center"/>
          </w:tcPr>
          <w:p>
            <w:pPr>
              <w:snapToGrid w:val="0"/>
              <w:ind w:left="180" w:leftChars="0"/>
              <w:jc w:val="center"/>
              <w:rPr>
                <w:rFonts w:hint="eastAsia" w:ascii="宋体" w:hAnsi="宋体" w:eastAsia="宋体" w:cs="宋体"/>
                <w:sz w:val="21"/>
                <w:szCs w:val="21"/>
              </w:rPr>
            </w:pPr>
            <w:r>
              <w:rPr>
                <w:rFonts w:hint="eastAsia" w:ascii="宋体" w:hAnsi="宋体" w:eastAsia="宋体" w:cs="宋体"/>
                <w:sz w:val="21"/>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期末</w:t>
            </w:r>
            <w:r>
              <w:rPr>
                <w:rFonts w:hint="eastAsia" w:ascii="宋体" w:hAnsi="宋体" w:eastAsia="宋体" w:cs="宋体"/>
                <w:sz w:val="21"/>
                <w:szCs w:val="21"/>
                <w:lang w:val="en-US" w:eastAsia="zh-CN"/>
              </w:rPr>
              <w:t>考核</w:t>
            </w:r>
          </w:p>
        </w:tc>
        <w:tc>
          <w:tcPr>
            <w:tcW w:w="5547" w:type="dxa"/>
            <w:gridSpan w:val="6"/>
            <w:vAlign w:val="top"/>
          </w:tcPr>
          <w:p>
            <w:pPr>
              <w:snapToGrid w:val="0"/>
              <w:jc w:val="center"/>
              <w:rPr>
                <w:rFonts w:hint="eastAsia" w:ascii="宋体" w:hAnsi="宋体" w:eastAsia="宋体" w:cs="宋体"/>
                <w:sz w:val="21"/>
                <w:szCs w:val="21"/>
              </w:rPr>
            </w:pPr>
            <w:r>
              <w:rPr>
                <w:rFonts w:hint="eastAsia" w:ascii="宋体" w:hAnsi="宋体" w:eastAsia="宋体" w:cs="宋体"/>
                <w:sz w:val="21"/>
                <w:szCs w:val="21"/>
              </w:rPr>
              <w:t>根据评分标准评定分数</w:t>
            </w:r>
          </w:p>
        </w:tc>
        <w:tc>
          <w:tcPr>
            <w:tcW w:w="1478" w:type="dxa"/>
            <w:gridSpan w:val="2"/>
            <w:vAlign w:val="center"/>
          </w:tcPr>
          <w:p>
            <w:pPr>
              <w:snapToGrid w:val="0"/>
              <w:ind w:left="180" w:leftChars="0"/>
              <w:jc w:val="center"/>
              <w:rPr>
                <w:rFonts w:hint="eastAsia" w:ascii="宋体" w:hAnsi="宋体" w:eastAsia="宋体" w:cs="宋体"/>
                <w:sz w:val="21"/>
                <w:szCs w:val="21"/>
              </w:rPr>
            </w:pPr>
            <w:r>
              <w:rPr>
                <w:rFonts w:hint="eastAsia" w:ascii="宋体" w:hAnsi="宋体" w:eastAsia="宋体" w:cs="宋体"/>
                <w:sz w:val="21"/>
                <w:szCs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snapToGrid w:val="0"/>
              <w:spacing w:after="0" w:line="0" w:lineRule="atLeast"/>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2018年3月2日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1"/>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041EE"/>
    <w:rsid w:val="00061F27"/>
    <w:rsid w:val="0006698D"/>
    <w:rsid w:val="000761FC"/>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53270"/>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43E88"/>
    <w:rsid w:val="00F617C2"/>
    <w:rsid w:val="00F96D96"/>
    <w:rsid w:val="00FE22C8"/>
    <w:rsid w:val="03FC08F7"/>
    <w:rsid w:val="11BF6F39"/>
    <w:rsid w:val="127A03F6"/>
    <w:rsid w:val="28AD1D92"/>
    <w:rsid w:val="2C23799B"/>
    <w:rsid w:val="312020E1"/>
    <w:rsid w:val="367158AA"/>
    <w:rsid w:val="375B7CC4"/>
    <w:rsid w:val="3C116BBA"/>
    <w:rsid w:val="52DC7FBB"/>
    <w:rsid w:val="55DF02CC"/>
    <w:rsid w:val="59A45AD8"/>
    <w:rsid w:val="5A0C7219"/>
    <w:rsid w:val="5BD118C6"/>
    <w:rsid w:val="62602DFF"/>
    <w:rsid w:val="71D03C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uiPriority w:val="0"/>
    <w:rPr>
      <w:rFonts w:ascii="CIDFont + F2" w:hAnsi="CIDFont + F2" w:eastAsia="CIDFont + F2" w:cs="CIDFont + F2"/>
      <w:color w:val="000000"/>
      <w:sz w:val="20"/>
      <w:szCs w:val="20"/>
    </w:rPr>
  </w:style>
  <w:style w:type="character" w:customStyle="1" w:styleId="10">
    <w:name w:val="页眉 Char"/>
    <w:basedOn w:val="5"/>
    <w:link w:val="4"/>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A71CF6-4A72-40F8-978B-CFCB71496C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817</Characters>
  <Lines>6</Lines>
  <Paragraphs>1</Paragraphs>
  <ScaleCrop>false</ScaleCrop>
  <LinksUpToDate>false</LinksUpToDate>
  <CharactersWithSpaces>959</CharactersWithSpaces>
  <Application>WPS Office_10.2.0.5978_F1E327BC-269C-435d-A152-05C5408002CA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2018-03-06T07:58:00Z</dcterms:created>
  <dc:creator>lenovo</dc:creator>
  <cp:lastModifiedBy>Emily</cp:lastModifiedBy>
  <cp:lastPrinted>2017-01-05T16:24:00Z</cp:lastPrinted>
  <dcterms:modified xsi:type="dcterms:W3CDTF">2018-03-06T13:49:36Z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