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大学英语</w:t>
      </w:r>
      <w:r>
        <w:rPr>
          <w:rFonts w:hint="eastAsia" w:ascii="宋体" w:hAnsi="宋体" w:eastAsiaTheme="minorEastAsia"/>
          <w:b/>
          <w:sz w:val="32"/>
          <w:szCs w:val="32"/>
          <w:lang w:eastAsia="zh-CN"/>
        </w:rPr>
        <w:t>1</w:t>
      </w:r>
      <w:r>
        <w:rPr>
          <w:rFonts w:hint="eastAsia" w:ascii="宋体" w:hAnsi="宋体"/>
          <w:b/>
          <w:sz w:val="32"/>
          <w:szCs w:val="32"/>
          <w:lang w:eastAsia="zh-CN"/>
        </w:rPr>
        <w:t>》课程教学大纲</w:t>
      </w:r>
    </w:p>
    <w:tbl>
      <w:tblPr>
        <w:tblStyle w:val="6"/>
        <w:tblW w:w="87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901"/>
        <w:gridCol w:w="642"/>
        <w:gridCol w:w="600"/>
        <w:gridCol w:w="811"/>
        <w:gridCol w:w="1500"/>
        <w:gridCol w:w="929"/>
        <w:gridCol w:w="1200"/>
        <w:gridCol w:w="1372"/>
        <w:gridCol w:w="53"/>
        <w:gridCol w:w="13"/>
        <w:gridCol w:w="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367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课程名称：大学英语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</w:p>
        </w:tc>
        <w:tc>
          <w:tcPr>
            <w:tcW w:w="5067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选修）：必修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8746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College English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367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周学时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48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/3/3</w:t>
            </w:r>
          </w:p>
        </w:tc>
        <w:tc>
          <w:tcPr>
            <w:tcW w:w="5067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8746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高中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英语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367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授课时间：4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-1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9周 星期二：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1-2，3-4节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、星期三：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1-2，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-4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节、星期四：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1-2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3-4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5067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7314， 2403，7314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莞城校区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8746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2018经济与金融 1、2、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3，4 班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8国贸3，4班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8746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文学与传媒学院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8746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职称：侯珺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/讲师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367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13113252272</w:t>
            </w:r>
          </w:p>
        </w:tc>
        <w:tc>
          <w:tcPr>
            <w:tcW w:w="5067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holly0706@hotmail.com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8746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线上答疑为主，线下答疑为辅。线上答疑（“文华在线”网络教学平台，微信群，QQ群等）；线下答疑（授课期间）。线上答疑为每星期四下午3:00——5:00。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8746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（√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8746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新世界交互英语读写译，崔校平，清华大学出版社；新世界交互英语视听说，莫启扬，清华大学出版社；新视野大学英语2视听说教程，郑树棠，外语教学与研究出版社；新世纪快速阅读2，束定芳，上海外语教育出版社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《英语教学法》《心理语言学》《应用语言学》《中西文化比较》。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  <w:t>[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附学生拓展资料：《历年四级全真试题》《莎士比亚戏剧故事集（英文简写本）》，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The Bible Stories, Treasure Island(Robert Stephenson), Gulliver’s Travels(Jonathan Swift), A Farewell to Arms(Earnest Heymingway), Robinson Crusoe(Daniel Defoe), Martin Eden(Jack London), English Salon, China Daily, The World of English.]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8746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大学英语课程是面向非英语专业学生的一门必修课。该课程以外语教学理论为指导，以英语语言知识与应用技能、跨文化交际和学习策略为主要内容，并集多种教学模式和教学手段为一体的教学体系，其目的在于培养学生的英语综合应用能力，特别是听说能力，使他们在今后学习、工作和社会交往中能用英语有效地进行交际，同时增强其自主学习能力，提高综合文化素养，以适应我国社会发展和国际交流的需要。</w:t>
            </w:r>
          </w:p>
          <w:p>
            <w:pPr>
              <w:tabs>
                <w:tab w:val="left" w:pos="1440"/>
              </w:tabs>
              <w:spacing w:after="0" w:line="240" w:lineRule="atLeast"/>
              <w:ind w:firstLine="420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本课程采用在线网络课程与课堂教学相结合的教学模式，具体的教学实践为以学生为主体、以教师为主导、强调学生个体化、自主性和交互式的学习，注重形成性评价与终结性评价相结合。本课程教学以单元主题的形式呈现，主题内容贴近学生生活，内容丰富，将语言学习贯穿于了解文化、思考人生、探讨价值观的过程中，旨在培养学生较扎实的英语语言基础和较强的英语综合运用能力，提升学生综合文化素养，促进学生个性人格健康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41" w:hRule="atLeast"/>
          <w:jc w:val="center"/>
        </w:trPr>
        <w:tc>
          <w:tcPr>
            <w:tcW w:w="5179" w:type="dxa"/>
            <w:gridSpan w:val="6"/>
          </w:tcPr>
          <w:p>
            <w:pPr>
              <w:tabs>
                <w:tab w:val="left" w:pos="1440"/>
              </w:tabs>
              <w:spacing w:after="0" w:line="24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240" w:lineRule="atLeast"/>
              <w:ind w:firstLine="420" w:firstLineChars="200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1.</w:t>
            </w:r>
            <w:r>
              <w:rPr>
                <w:rFonts w:ascii="宋体" w:hAnsi="宋体" w:eastAsia="宋体"/>
                <w:kern w:val="2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夯实学生的语言基本功。</w:t>
            </w:r>
          </w:p>
          <w:p>
            <w:pPr>
              <w:tabs>
                <w:tab w:val="left" w:pos="1440"/>
              </w:tabs>
              <w:spacing w:after="0" w:line="240" w:lineRule="atLeast"/>
              <w:ind w:firstLine="420" w:firstLineChars="200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2.</w:t>
            </w:r>
            <w:r>
              <w:rPr>
                <w:rFonts w:ascii="宋体" w:hAnsi="宋体" w:eastAsia="宋体"/>
                <w:kern w:val="2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培养学生英语综合应用能力，提高“用英语”获取信息、处理信息、分析问题和解决问题能力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.</w:t>
            </w:r>
          </w:p>
          <w:p>
            <w:pPr>
              <w:tabs>
                <w:tab w:val="left" w:pos="1440"/>
              </w:tabs>
              <w:spacing w:after="0" w:line="240" w:lineRule="atLeast"/>
              <w:ind w:firstLine="420" w:firstLineChars="200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3.</w:t>
            </w:r>
            <w:r>
              <w:rPr>
                <w:rFonts w:ascii="宋体" w:hAnsi="宋体" w:eastAsia="宋体"/>
                <w:kern w:val="2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拓展学生国际化视野，提高跨文化意识和跨文化交际能力。</w:t>
            </w:r>
          </w:p>
          <w:p>
            <w:pPr>
              <w:tabs>
                <w:tab w:val="left" w:pos="1440"/>
              </w:tabs>
              <w:spacing w:after="0" w:line="240" w:lineRule="atLeast"/>
              <w:ind w:firstLine="420" w:firstLineChars="200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．培养学生问题意识和批判性思维能力。</w:t>
            </w:r>
          </w:p>
          <w:p>
            <w:pPr>
              <w:tabs>
                <w:tab w:val="left" w:pos="1440"/>
              </w:tabs>
              <w:spacing w:after="0" w:line="240" w:lineRule="atLeast"/>
              <w:ind w:firstLine="420" w:firstLineChars="200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．正面引导学生，培养自主学习和自我管理的能力。</w:t>
            </w:r>
          </w:p>
          <w:p>
            <w:pPr>
              <w:tabs>
                <w:tab w:val="left" w:pos="1440"/>
              </w:tabs>
              <w:spacing w:after="0" w:line="24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24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567" w:type="dxa"/>
            <w:gridSpan w:val="5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8746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82" w:type="dxa"/>
          <w:trHeight w:val="340" w:hRule="atLeast"/>
          <w:jc w:val="center"/>
        </w:trPr>
        <w:tc>
          <w:tcPr>
            <w:tcW w:w="725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54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0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240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20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372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5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4-6</w:t>
            </w:r>
          </w:p>
        </w:tc>
        <w:tc>
          <w:tcPr>
            <w:tcW w:w="1543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读写译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2：Unit1 Symbols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  </w:t>
            </w:r>
          </w:p>
          <w:p>
            <w:pPr>
              <w:spacing w:after="0" w:line="240" w:lineRule="atLeast"/>
              <w:ind w:left="40" w:firstLine="1470" w:firstLineChars="70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新世界交互英语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视听说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: Unit1    </w:t>
            </w:r>
          </w:p>
          <w:p>
            <w:pPr>
              <w:spacing w:after="0" w:line="240" w:lineRule="atLeast"/>
              <w:ind w:left="40" w:firstLine="1470" w:firstLineChars="70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新视野视听说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2：Unit1</w:t>
            </w:r>
          </w:p>
        </w:tc>
        <w:tc>
          <w:tcPr>
            <w:tcW w:w="6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重点：学习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reading1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中语言难点，篇章结构和中心思想；掌握英语段落写作技巧、传统工艺品简介翻译技巧。</w:t>
            </w:r>
          </w:p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难点：如何正确使用难点词和词组；寻找颜色和性格的联系。</w:t>
            </w:r>
          </w:p>
        </w:tc>
        <w:tc>
          <w:tcPr>
            <w:tcW w:w="12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课堂讲授与小组讨论结合；听力以学生实训为主，教师网络答疑监控。</w:t>
            </w:r>
          </w:p>
        </w:tc>
        <w:tc>
          <w:tcPr>
            <w:tcW w:w="1454" w:type="dxa"/>
            <w:gridSpan w:val="4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预习、查生词、完成导读部分练习；完成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Reading2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和快速阅读2：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Unit1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；完成课后练习及二维码扫码阅读；完成一篇写作；微课堂Unit1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5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7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-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543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读写译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: 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Customs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     新世界交互英语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视听说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: Unit2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Unit3</w:t>
            </w:r>
          </w:p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新视野视听说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2：Unit2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          </w:t>
            </w:r>
          </w:p>
        </w:tc>
        <w:tc>
          <w:tcPr>
            <w:tcW w:w="6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9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 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重点：学习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reading1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中语言难点，篇章结构和中心思想；掌握英语中general statements和thesis statements的区别及写作技巧；传统节日简介翻译技巧。</w:t>
            </w:r>
          </w:p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难点：如何正确使用难点词和词组；夏威夷感恩节与美国其他地方感恩节的差异。</w:t>
            </w:r>
          </w:p>
        </w:tc>
        <w:tc>
          <w:tcPr>
            <w:tcW w:w="12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课堂讲授与小组讨论结合；听力以学生实训为主，教师网络答疑监控。</w:t>
            </w:r>
          </w:p>
        </w:tc>
        <w:tc>
          <w:tcPr>
            <w:tcW w:w="1454" w:type="dxa"/>
            <w:gridSpan w:val="4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预习、查生词、完成导读部分练习；完成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Reading2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和快速阅读2：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2；完成课后练习及二维码扫码阅读；完成一篇写作；微课堂Unit2。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5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10-11</w:t>
            </w:r>
          </w:p>
        </w:tc>
        <w:tc>
          <w:tcPr>
            <w:tcW w:w="1543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读写译2</w:t>
            </w:r>
            <w:r>
              <w:rPr>
                <w:rFonts w:ascii="宋体" w:hAnsi="宋体" w:eastAsia="宋体"/>
                <w:sz w:val="21"/>
                <w:szCs w:val="21"/>
              </w:rPr>
              <w:t>: 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 People Making a Difference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      新世界交互英语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视听说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: 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新视野视听说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2：Unit3、4</w:t>
            </w:r>
          </w:p>
        </w:tc>
        <w:tc>
          <w:tcPr>
            <w:tcW w:w="6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重点：学习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reading1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中语言难点，篇章结构和中心思想；掌握descriptive essay和narrative 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essayed的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写作技巧；动物简介翻译技巧。</w:t>
            </w:r>
          </w:p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难点：如何正确使用难点词和词组；理解与众不同的人的行为动机。</w:t>
            </w:r>
          </w:p>
        </w:tc>
        <w:tc>
          <w:tcPr>
            <w:tcW w:w="12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课堂讲授与小组讨论结合；听力以学生实训为主，教师网络答疑监控</w:t>
            </w:r>
          </w:p>
        </w:tc>
        <w:tc>
          <w:tcPr>
            <w:tcW w:w="1454" w:type="dxa"/>
            <w:gridSpan w:val="4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预习、查生词、完成导读部分练习；完成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Reading2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和快速阅读2：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3；完成课后练习及二维码扫码阅读；完成一篇写作；微课堂Unit4。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5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期中考试</w:t>
            </w:r>
          </w:p>
        </w:tc>
        <w:tc>
          <w:tcPr>
            <w:tcW w:w="6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测试学生前期学习情况。</w:t>
            </w:r>
          </w:p>
        </w:tc>
        <w:tc>
          <w:tcPr>
            <w:tcW w:w="12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学生独立完成</w:t>
            </w:r>
          </w:p>
        </w:tc>
        <w:tc>
          <w:tcPr>
            <w:tcW w:w="1454" w:type="dxa"/>
            <w:gridSpan w:val="4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完成读写译2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: 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3及二维码扫码阅读和快速阅读2：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4；微课堂Unit3。</w:t>
            </w:r>
          </w:p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5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-1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543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读写译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: 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5 Food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       新世界交互英语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视听说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: Unit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   新视野视听说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2：Unit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</w:p>
        </w:tc>
        <w:tc>
          <w:tcPr>
            <w:tcW w:w="6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重点：学习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reading1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中语言难点，篇章结构和中心思想；掌握类比和转折词与短语在写作中的使用技巧；食物介绍的翻译技巧。</w:t>
            </w:r>
          </w:p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难点：如何正确使用难点词和词组；理解、思考寿司在美国与日本制作与食用方式不同的原因。</w:t>
            </w:r>
          </w:p>
        </w:tc>
        <w:tc>
          <w:tcPr>
            <w:tcW w:w="12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课堂讲授与小组讨论结合；听力以学生实训为主，教师网络答疑监控。</w:t>
            </w:r>
          </w:p>
        </w:tc>
        <w:tc>
          <w:tcPr>
            <w:tcW w:w="1454" w:type="dxa"/>
            <w:gridSpan w:val="4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预习、查生词、完成导读部分练习；完成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Reading2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和快速阅读2：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5、Unit6；完成课后练习及二维码扫码阅读；完成一篇写作；微课堂Unit5。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5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5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-16</w:t>
            </w:r>
          </w:p>
        </w:tc>
        <w:tc>
          <w:tcPr>
            <w:tcW w:w="1543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读写译2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: 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Language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     </w:t>
            </w:r>
          </w:p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新世界交互英语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视听说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: 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6、Unit7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新视野视听说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2：Unit6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 </w:t>
            </w:r>
          </w:p>
        </w:tc>
        <w:tc>
          <w:tcPr>
            <w:tcW w:w="6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重点：学习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reading1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中语言难点，篇章结构和中心思想；掌握because、as(引导原因状语从句)、therefore和 consequently在写作中的使用技巧；文字简介的翻译技巧。</w:t>
            </w:r>
          </w:p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难点：如何正确使用难点词和词组；密码的生成规律及其破译。</w:t>
            </w:r>
          </w:p>
        </w:tc>
        <w:tc>
          <w:tcPr>
            <w:tcW w:w="12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课堂讲授与小组讨论结合；听力以学生实训为主，教师网络答疑监控。</w:t>
            </w:r>
          </w:p>
        </w:tc>
        <w:tc>
          <w:tcPr>
            <w:tcW w:w="1454" w:type="dxa"/>
            <w:gridSpan w:val="4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预习、查生词、完成导读部分练习；完成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Reading2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和快速阅读2：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7；完成课后练习及二维码扫码阅读；完成一篇写作；完成读写译2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: 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8及二维码扫码阅读。微课堂Unit6、8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5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17-1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543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读写译</w:t>
            </w:r>
            <w:r>
              <w:rPr>
                <w:rFonts w:ascii="宋体" w:hAnsi="宋体" w:eastAsia="宋体"/>
                <w:sz w:val="21"/>
                <w:szCs w:val="21"/>
              </w:rPr>
              <w:t>1: 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7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  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Environment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新世界交互英语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视听说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1: 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Unit8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 新视野视听说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2：Unit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7、8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</w:t>
            </w:r>
          </w:p>
        </w:tc>
        <w:tc>
          <w:tcPr>
            <w:tcW w:w="6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重点：学习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reading1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中语言难点，篇章结构和中心思想；掌握论据的写作技巧；传统工艺品制作方法的翻译技巧。</w:t>
            </w:r>
          </w:p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难点：如何正确使用难点词和词组；思考如何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解救动物园里的动物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课堂讲授与小组讨论结合；听力以学生实训为主，教师网络答疑监控。</w:t>
            </w:r>
          </w:p>
        </w:tc>
        <w:tc>
          <w:tcPr>
            <w:tcW w:w="1454" w:type="dxa"/>
            <w:gridSpan w:val="4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预习、查生词、完成导读部分练习；完成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Reading2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和快速阅读2：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Unit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8；完成课后练习及二维码扫码阅读；完成一篇写作；微课堂Unit7。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5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1543" w:type="dxa"/>
            <w:gridSpan w:val="2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复习</w:t>
            </w:r>
          </w:p>
        </w:tc>
        <w:tc>
          <w:tcPr>
            <w:tcW w:w="6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查缺补漏</w:t>
            </w:r>
          </w:p>
        </w:tc>
        <w:tc>
          <w:tcPr>
            <w:tcW w:w="12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学生提问教师答疑</w:t>
            </w:r>
          </w:p>
        </w:tc>
        <w:tc>
          <w:tcPr>
            <w:tcW w:w="1454" w:type="dxa"/>
            <w:gridSpan w:val="4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准备期末考试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gridSpan w:val="3"/>
            <w:vAlign w:val="center"/>
          </w:tcPr>
          <w:p>
            <w:pPr>
              <w:spacing w:after="0" w:line="24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4" w:type="dxa"/>
            <w:gridSpan w:val="4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62" w:type="dxa"/>
            <w:gridSpan w:val="12"/>
            <w:vAlign w:val="center"/>
          </w:tcPr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备注：教学进度和内容会根据学生的接受程度灵活调整。本学期课堂教学共6个单元，剩下2个单元学生自主学习（作业已体现），期末考试考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Unit 1-8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（包括每个单元后的二维码扫码阅读）；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本学期学生至少完成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5篇作文。</w:t>
            </w:r>
          </w:p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8746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1626" w:type="dxa"/>
            <w:gridSpan w:val="2"/>
            <w:vAlign w:val="center"/>
          </w:tcPr>
          <w:p>
            <w:pPr>
              <w:snapToGrid w:val="0"/>
              <w:spacing w:after="0" w:line="24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482" w:type="dxa"/>
            <w:gridSpan w:val="5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2638" w:type="dxa"/>
            <w:gridSpan w:val="4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1626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考 勤</w:t>
            </w:r>
          </w:p>
        </w:tc>
        <w:tc>
          <w:tcPr>
            <w:tcW w:w="4482" w:type="dxa"/>
            <w:gridSpan w:val="5"/>
            <w:vAlign w:val="center"/>
          </w:tcPr>
          <w:p>
            <w:pPr>
              <w:snapToGrid w:val="0"/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1．无故旷课一次，从平时成绩中扣2分。2．无故旷课6节，取消期末考试资格。3．迟到一次，从平时成绩中扣0.5分。4．病假或事假须及时提交书面请假单，否则视为无故旷课。</w:t>
            </w:r>
          </w:p>
        </w:tc>
        <w:tc>
          <w:tcPr>
            <w:tcW w:w="2638" w:type="dxa"/>
            <w:gridSpan w:val="4"/>
            <w:vAlign w:val="center"/>
          </w:tcPr>
          <w:p>
            <w:pPr>
              <w:snapToGrid w:val="0"/>
              <w:spacing w:after="0" w:line="240" w:lineRule="atLeast"/>
              <w:ind w:firstLine="210" w:firstLineChars="10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" w:type="dxa"/>
          <w:trHeight w:val="340" w:hRule="atLeast"/>
          <w:jc w:val="center"/>
        </w:trPr>
        <w:tc>
          <w:tcPr>
            <w:tcW w:w="1626" w:type="dxa"/>
            <w:gridSpan w:val="2"/>
            <w:vAlign w:val="center"/>
          </w:tcPr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4482" w:type="dxa"/>
            <w:gridSpan w:val="5"/>
            <w:vAlign w:val="center"/>
          </w:tcPr>
          <w:p>
            <w:pPr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课前准备充分，课堂展示丰富流畅、讨论积极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snapToGrid w:val="0"/>
              <w:spacing w:after="0" w:line="240" w:lineRule="atLeast"/>
              <w:ind w:firstLine="210" w:firstLineChars="100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" w:type="dxa"/>
          <w:trHeight w:val="340" w:hRule="atLeast"/>
          <w:jc w:val="center"/>
        </w:trPr>
        <w:tc>
          <w:tcPr>
            <w:tcW w:w="1626" w:type="dxa"/>
            <w:gridSpan w:val="2"/>
            <w:vAlign w:val="center"/>
          </w:tcPr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网络视频课程</w:t>
            </w:r>
          </w:p>
        </w:tc>
        <w:tc>
          <w:tcPr>
            <w:tcW w:w="4482" w:type="dxa"/>
            <w:gridSpan w:val="5"/>
            <w:vAlign w:val="center"/>
          </w:tcPr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分阶段按时完成“读写译微课”观看与学习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snapToGrid w:val="0"/>
              <w:spacing w:after="0" w:line="240" w:lineRule="atLeast"/>
              <w:ind w:left="180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" w:type="dxa"/>
          <w:trHeight w:val="340" w:hRule="atLeast"/>
          <w:jc w:val="center"/>
        </w:trPr>
        <w:tc>
          <w:tcPr>
            <w:tcW w:w="1626" w:type="dxa"/>
            <w:gridSpan w:val="2"/>
            <w:vAlign w:val="center"/>
          </w:tcPr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作文作业</w:t>
            </w:r>
          </w:p>
        </w:tc>
        <w:tc>
          <w:tcPr>
            <w:tcW w:w="4482" w:type="dxa"/>
            <w:gridSpan w:val="5"/>
            <w:vAlign w:val="center"/>
          </w:tcPr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本学期完成的作文不少于5篇，每篇作文字数不少于300字。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snapToGrid w:val="0"/>
              <w:spacing w:after="0" w:line="240" w:lineRule="atLeast"/>
              <w:ind w:left="180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" w:type="dxa"/>
          <w:trHeight w:val="340" w:hRule="atLeast"/>
          <w:jc w:val="center"/>
        </w:trPr>
        <w:tc>
          <w:tcPr>
            <w:tcW w:w="1626" w:type="dxa"/>
            <w:gridSpan w:val="2"/>
            <w:vAlign w:val="center"/>
          </w:tcPr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听说训练</w:t>
            </w:r>
          </w:p>
        </w:tc>
        <w:tc>
          <w:tcPr>
            <w:tcW w:w="4482" w:type="dxa"/>
            <w:gridSpan w:val="5"/>
            <w:vAlign w:val="center"/>
          </w:tcPr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按时完成“视听说”训练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snapToGrid w:val="0"/>
              <w:spacing w:after="0" w:line="240" w:lineRule="atLeast"/>
              <w:ind w:left="180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" w:type="dxa"/>
          <w:trHeight w:val="340" w:hRule="atLeast"/>
          <w:jc w:val="center"/>
        </w:trPr>
        <w:tc>
          <w:tcPr>
            <w:tcW w:w="1626" w:type="dxa"/>
            <w:gridSpan w:val="2"/>
            <w:vAlign w:val="center"/>
          </w:tcPr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形成性测试</w:t>
            </w:r>
          </w:p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（网考）</w:t>
            </w:r>
          </w:p>
        </w:tc>
        <w:tc>
          <w:tcPr>
            <w:tcW w:w="4482" w:type="dxa"/>
            <w:gridSpan w:val="5"/>
            <w:vAlign w:val="center"/>
          </w:tcPr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按时完成阶段性测试题（词汇、快速阅读、听力理解、作文等）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snapToGrid w:val="0"/>
              <w:spacing w:after="0" w:line="240" w:lineRule="atLeast"/>
              <w:ind w:left="180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" w:type="dxa"/>
          <w:trHeight w:val="340" w:hRule="atLeast"/>
          <w:jc w:val="center"/>
        </w:trPr>
        <w:tc>
          <w:tcPr>
            <w:tcW w:w="1626" w:type="dxa"/>
            <w:gridSpan w:val="2"/>
            <w:vAlign w:val="center"/>
          </w:tcPr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期中考试</w:t>
            </w:r>
          </w:p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（网考）</w:t>
            </w:r>
          </w:p>
        </w:tc>
        <w:tc>
          <w:tcPr>
            <w:tcW w:w="4482" w:type="dxa"/>
            <w:gridSpan w:val="5"/>
            <w:vAlign w:val="center"/>
          </w:tcPr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检测学期中的各项语言能力学习成果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snapToGrid w:val="0"/>
              <w:spacing w:after="0" w:line="240" w:lineRule="atLeast"/>
              <w:ind w:left="180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" w:type="dxa"/>
          <w:trHeight w:val="353" w:hRule="atLeast"/>
          <w:jc w:val="center"/>
        </w:trPr>
        <w:tc>
          <w:tcPr>
            <w:tcW w:w="1626" w:type="dxa"/>
            <w:gridSpan w:val="2"/>
            <w:vAlign w:val="center"/>
          </w:tcPr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4482" w:type="dxa"/>
            <w:gridSpan w:val="5"/>
            <w:vAlign w:val="center"/>
          </w:tcPr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各项语言能力学习成果检测(平时作业三分之一以上未交者，不得参加学期考试)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snapToGrid w:val="0"/>
              <w:spacing w:after="0" w:line="240" w:lineRule="atLeast"/>
              <w:ind w:left="180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" w:type="dxa"/>
          <w:trHeight w:val="340" w:hRule="atLeast"/>
          <w:jc w:val="center"/>
        </w:trPr>
        <w:tc>
          <w:tcPr>
            <w:tcW w:w="8733" w:type="dxa"/>
            <w:gridSpan w:val="10"/>
            <w:vAlign w:val="center"/>
          </w:tcPr>
          <w:p>
            <w:pPr>
              <w:snapToGrid w:val="0"/>
              <w:spacing w:after="0" w:line="240" w:lineRule="atLeast"/>
              <w:jc w:val="lef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8年9月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40" w:hRule="atLeast"/>
          <w:jc w:val="center"/>
        </w:trPr>
        <w:tc>
          <w:tcPr>
            <w:tcW w:w="8746" w:type="dxa"/>
            <w:gridSpan w:val="11"/>
          </w:tcPr>
          <w:p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24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日</w:t>
            </w:r>
          </w:p>
          <w:p>
            <w:pPr>
              <w:snapToGrid w:val="0"/>
              <w:spacing w:after="0" w:line="240" w:lineRule="atLeast"/>
              <w:ind w:firstLine="210" w:firstLineChars="10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bCs/>
          <w:sz w:val="21"/>
          <w:szCs w:val="21"/>
          <w:lang w:eastAsia="zh-CN"/>
        </w:rPr>
        <w:t>注：</w:t>
      </w:r>
      <w:r>
        <w:rPr>
          <w:rFonts w:ascii="宋体" w:hAnsi="宋体" w:eastAsia="宋体"/>
          <w:b/>
          <w:bCs/>
          <w:sz w:val="21"/>
          <w:szCs w:val="21"/>
          <w:lang w:eastAsia="zh-CN"/>
        </w:rPr>
        <w:t>1</w:t>
      </w:r>
      <w:r>
        <w:rPr>
          <w:rFonts w:hint="eastAsia" w:ascii="宋体" w:hAnsi="宋体" w:eastAsia="宋体"/>
          <w:b/>
          <w:bCs/>
          <w:sz w:val="21"/>
          <w:szCs w:val="21"/>
          <w:lang w:eastAsia="zh-CN"/>
        </w:rPr>
        <w:t>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</w:t>
      </w:r>
      <w:r>
        <w:rPr>
          <w:rFonts w:ascii="宋体" w:hAnsi="宋体" w:eastAsia="宋体"/>
          <w:b/>
          <w:sz w:val="21"/>
          <w:szCs w:val="21"/>
          <w:lang w:eastAsia="zh-CN"/>
        </w:rPr>
        <w:t>3-5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="宋体" w:hAnsi="宋体" w:eastAsia="宋体"/>
          <w:b/>
          <w:sz w:val="21"/>
          <w:szCs w:val="21"/>
          <w:lang w:eastAsia="zh-CN"/>
        </w:rPr>
        <w:t xml:space="preserve">    2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="宋体" w:hAnsi="宋体" w:eastAsia="宋体"/>
          <w:b/>
          <w:sz w:val="21"/>
          <w:szCs w:val="21"/>
          <w:lang w:eastAsia="zh-CN"/>
        </w:rPr>
        <w:t xml:space="preserve">    3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、教学方式可选：课堂讲授</w:t>
      </w:r>
      <w:r>
        <w:rPr>
          <w:rFonts w:ascii="宋体" w:hAnsi="宋体" w:eastAsia="宋体"/>
          <w:b/>
          <w:sz w:val="21"/>
          <w:szCs w:val="21"/>
          <w:lang w:eastAsia="zh-CN"/>
        </w:rPr>
        <w:t>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小组讨论</w:t>
      </w:r>
      <w:r>
        <w:rPr>
          <w:rFonts w:ascii="宋体" w:hAnsi="宋体" w:eastAsia="宋体"/>
          <w:b/>
          <w:sz w:val="21"/>
          <w:szCs w:val="21"/>
          <w:lang w:eastAsia="zh-CN"/>
        </w:rPr>
        <w:t>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实验</w:t>
      </w:r>
      <w:r>
        <w:rPr>
          <w:rFonts w:ascii="宋体" w:hAnsi="宋体" w:eastAsia="宋体"/>
          <w:b/>
          <w:sz w:val="21"/>
          <w:szCs w:val="21"/>
          <w:lang w:eastAsia="zh-CN"/>
        </w:rPr>
        <w:t>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="宋体" w:hAnsi="宋体" w:eastAsia="宋体"/>
          <w:b/>
          <w:sz w:val="21"/>
          <w:szCs w:val="21"/>
          <w:lang w:eastAsia="zh-CN"/>
        </w:rPr>
        <w:t xml:space="preserve">    4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13F98"/>
    <w:rsid w:val="00031BE9"/>
    <w:rsid w:val="00061F27"/>
    <w:rsid w:val="00063539"/>
    <w:rsid w:val="0006698D"/>
    <w:rsid w:val="000730E4"/>
    <w:rsid w:val="00074BC0"/>
    <w:rsid w:val="00087B74"/>
    <w:rsid w:val="00093057"/>
    <w:rsid w:val="000A5B3E"/>
    <w:rsid w:val="000B626E"/>
    <w:rsid w:val="000B7DA7"/>
    <w:rsid w:val="000C2D4A"/>
    <w:rsid w:val="000C6E6E"/>
    <w:rsid w:val="000E0AE8"/>
    <w:rsid w:val="00126858"/>
    <w:rsid w:val="00142315"/>
    <w:rsid w:val="00142369"/>
    <w:rsid w:val="00155E5A"/>
    <w:rsid w:val="00155F72"/>
    <w:rsid w:val="00171228"/>
    <w:rsid w:val="00173269"/>
    <w:rsid w:val="00180C78"/>
    <w:rsid w:val="001A0575"/>
    <w:rsid w:val="001B0B0B"/>
    <w:rsid w:val="001B31E9"/>
    <w:rsid w:val="001B74E7"/>
    <w:rsid w:val="001B78CA"/>
    <w:rsid w:val="001D28E8"/>
    <w:rsid w:val="001E0692"/>
    <w:rsid w:val="001F20BC"/>
    <w:rsid w:val="00202E24"/>
    <w:rsid w:val="00207403"/>
    <w:rsid w:val="002077B9"/>
    <w:rsid w:val="002111AE"/>
    <w:rsid w:val="00225CE9"/>
    <w:rsid w:val="00227119"/>
    <w:rsid w:val="00227D63"/>
    <w:rsid w:val="00240130"/>
    <w:rsid w:val="00265F60"/>
    <w:rsid w:val="00271F37"/>
    <w:rsid w:val="002859B0"/>
    <w:rsid w:val="00290B8A"/>
    <w:rsid w:val="002A234F"/>
    <w:rsid w:val="002A4897"/>
    <w:rsid w:val="002C1270"/>
    <w:rsid w:val="002C664A"/>
    <w:rsid w:val="002D0AC0"/>
    <w:rsid w:val="002D2BC5"/>
    <w:rsid w:val="002D4368"/>
    <w:rsid w:val="002E27E1"/>
    <w:rsid w:val="00300687"/>
    <w:rsid w:val="003044FA"/>
    <w:rsid w:val="0030630B"/>
    <w:rsid w:val="003418FD"/>
    <w:rsid w:val="0036613E"/>
    <w:rsid w:val="0037561C"/>
    <w:rsid w:val="003C66D8"/>
    <w:rsid w:val="003D1D9B"/>
    <w:rsid w:val="003E1A3F"/>
    <w:rsid w:val="003E66A6"/>
    <w:rsid w:val="0040053B"/>
    <w:rsid w:val="0041314F"/>
    <w:rsid w:val="00414FC8"/>
    <w:rsid w:val="00442E17"/>
    <w:rsid w:val="00457E42"/>
    <w:rsid w:val="00482C5B"/>
    <w:rsid w:val="00485CE8"/>
    <w:rsid w:val="004A3EAA"/>
    <w:rsid w:val="004B15D2"/>
    <w:rsid w:val="004B3994"/>
    <w:rsid w:val="004B4FB0"/>
    <w:rsid w:val="004B59F4"/>
    <w:rsid w:val="004B64D2"/>
    <w:rsid w:val="004D29DE"/>
    <w:rsid w:val="004E0481"/>
    <w:rsid w:val="004E7804"/>
    <w:rsid w:val="00526DB0"/>
    <w:rsid w:val="00530900"/>
    <w:rsid w:val="005472A3"/>
    <w:rsid w:val="005639AB"/>
    <w:rsid w:val="005911D3"/>
    <w:rsid w:val="005B057B"/>
    <w:rsid w:val="005E5A56"/>
    <w:rsid w:val="005F174F"/>
    <w:rsid w:val="00633D72"/>
    <w:rsid w:val="0063410F"/>
    <w:rsid w:val="00636AA5"/>
    <w:rsid w:val="0065651C"/>
    <w:rsid w:val="00660EC2"/>
    <w:rsid w:val="006A5815"/>
    <w:rsid w:val="006A6C3F"/>
    <w:rsid w:val="006D4B47"/>
    <w:rsid w:val="006E149F"/>
    <w:rsid w:val="006E16E7"/>
    <w:rsid w:val="006E6CAE"/>
    <w:rsid w:val="006F4874"/>
    <w:rsid w:val="00735FDE"/>
    <w:rsid w:val="00746F5F"/>
    <w:rsid w:val="00762409"/>
    <w:rsid w:val="00770F0D"/>
    <w:rsid w:val="00776AF2"/>
    <w:rsid w:val="00785779"/>
    <w:rsid w:val="007A154B"/>
    <w:rsid w:val="007B0F58"/>
    <w:rsid w:val="007C07A2"/>
    <w:rsid w:val="007C5C63"/>
    <w:rsid w:val="007C67BD"/>
    <w:rsid w:val="007F0325"/>
    <w:rsid w:val="008147FF"/>
    <w:rsid w:val="00815F78"/>
    <w:rsid w:val="0082493A"/>
    <w:rsid w:val="00840EB0"/>
    <w:rsid w:val="008512DF"/>
    <w:rsid w:val="0085379C"/>
    <w:rsid w:val="00855020"/>
    <w:rsid w:val="00857EF1"/>
    <w:rsid w:val="0087479C"/>
    <w:rsid w:val="00885EED"/>
    <w:rsid w:val="00891BD3"/>
    <w:rsid w:val="00892ADC"/>
    <w:rsid w:val="00896971"/>
    <w:rsid w:val="008B7A15"/>
    <w:rsid w:val="008E0047"/>
    <w:rsid w:val="008E4884"/>
    <w:rsid w:val="008F6642"/>
    <w:rsid w:val="009157F8"/>
    <w:rsid w:val="00917C66"/>
    <w:rsid w:val="00926644"/>
    <w:rsid w:val="009349EE"/>
    <w:rsid w:val="00945E94"/>
    <w:rsid w:val="00965613"/>
    <w:rsid w:val="00975D84"/>
    <w:rsid w:val="00981983"/>
    <w:rsid w:val="009976FC"/>
    <w:rsid w:val="009A2B5C"/>
    <w:rsid w:val="009B3EAE"/>
    <w:rsid w:val="009C3354"/>
    <w:rsid w:val="009D3079"/>
    <w:rsid w:val="009F3A41"/>
    <w:rsid w:val="00A0567A"/>
    <w:rsid w:val="00A05CA5"/>
    <w:rsid w:val="00A31DB1"/>
    <w:rsid w:val="00A351C1"/>
    <w:rsid w:val="00A60E99"/>
    <w:rsid w:val="00A65ED2"/>
    <w:rsid w:val="00A72FE6"/>
    <w:rsid w:val="00A746DA"/>
    <w:rsid w:val="00A83DE2"/>
    <w:rsid w:val="00A84D68"/>
    <w:rsid w:val="00A85774"/>
    <w:rsid w:val="00A90B9D"/>
    <w:rsid w:val="00AA199F"/>
    <w:rsid w:val="00AB00C2"/>
    <w:rsid w:val="00AE48DD"/>
    <w:rsid w:val="00AF46CF"/>
    <w:rsid w:val="00B810F6"/>
    <w:rsid w:val="00B8792A"/>
    <w:rsid w:val="00BB35F5"/>
    <w:rsid w:val="00BC2100"/>
    <w:rsid w:val="00BD1861"/>
    <w:rsid w:val="00BD716E"/>
    <w:rsid w:val="00C171A3"/>
    <w:rsid w:val="00C41509"/>
    <w:rsid w:val="00C4173A"/>
    <w:rsid w:val="00C41D05"/>
    <w:rsid w:val="00C43077"/>
    <w:rsid w:val="00C705DD"/>
    <w:rsid w:val="00C757C1"/>
    <w:rsid w:val="00C76FA2"/>
    <w:rsid w:val="00C87C7B"/>
    <w:rsid w:val="00C90858"/>
    <w:rsid w:val="00C96000"/>
    <w:rsid w:val="00C97878"/>
    <w:rsid w:val="00CA1AB8"/>
    <w:rsid w:val="00CB0DA7"/>
    <w:rsid w:val="00CC4A46"/>
    <w:rsid w:val="00CD2F8F"/>
    <w:rsid w:val="00CF077E"/>
    <w:rsid w:val="00D25C85"/>
    <w:rsid w:val="00D37176"/>
    <w:rsid w:val="00D45246"/>
    <w:rsid w:val="00D576CE"/>
    <w:rsid w:val="00D577AD"/>
    <w:rsid w:val="00D62B41"/>
    <w:rsid w:val="00DB45CF"/>
    <w:rsid w:val="00DB5724"/>
    <w:rsid w:val="00DF5C03"/>
    <w:rsid w:val="00E0505F"/>
    <w:rsid w:val="00E413E8"/>
    <w:rsid w:val="00E53E23"/>
    <w:rsid w:val="00E641DA"/>
    <w:rsid w:val="00E73A11"/>
    <w:rsid w:val="00E7749B"/>
    <w:rsid w:val="00EA68A3"/>
    <w:rsid w:val="00EC174D"/>
    <w:rsid w:val="00EC2295"/>
    <w:rsid w:val="00ED3FCA"/>
    <w:rsid w:val="00ED5970"/>
    <w:rsid w:val="00EF5C82"/>
    <w:rsid w:val="00F03AD9"/>
    <w:rsid w:val="00F20130"/>
    <w:rsid w:val="00F31667"/>
    <w:rsid w:val="00F36F5A"/>
    <w:rsid w:val="00F4385F"/>
    <w:rsid w:val="00F56E5E"/>
    <w:rsid w:val="00F617C2"/>
    <w:rsid w:val="00F84291"/>
    <w:rsid w:val="00F96D96"/>
    <w:rsid w:val="00FB69FF"/>
    <w:rsid w:val="00FE22C8"/>
    <w:rsid w:val="28AD1D92"/>
    <w:rsid w:val="2C23799B"/>
    <w:rsid w:val="53843DB7"/>
    <w:rsid w:val="54462D01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kern w:val="0"/>
      <w:sz w:val="24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列出段落1"/>
    <w:basedOn w:val="1"/>
    <w:uiPriority w:val="99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uiPriority w:val="99"/>
    <w:rPr>
      <w:rFonts w:ascii="CIDFont + F2" w:hAnsi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locked/>
    <w:uiPriority w:val="99"/>
    <w:rPr>
      <w:rFonts w:eastAsia="PMingLiU" w:cs="Times New Roman"/>
      <w:sz w:val="18"/>
      <w:szCs w:val="18"/>
      <w:lang w:eastAsia="en-US"/>
    </w:rPr>
  </w:style>
  <w:style w:type="character" w:customStyle="1" w:styleId="11">
    <w:name w:val="页脚 Char"/>
    <w:basedOn w:val="5"/>
    <w:link w:val="3"/>
    <w:locked/>
    <w:uiPriority w:val="99"/>
    <w:rPr>
      <w:rFonts w:eastAsia="PMingLiU" w:cs="Times New Roman"/>
      <w:sz w:val="18"/>
      <w:szCs w:val="18"/>
      <w:lang w:eastAsia="en-US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Char"/>
    <w:basedOn w:val="5"/>
    <w:link w:val="2"/>
    <w:locked/>
    <w:uiPriority w:val="99"/>
    <w:rPr>
      <w:rFonts w:eastAsia="PMingLiU" w:cs="Times New Roman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634</Words>
  <Characters>3619</Characters>
  <Lines>30</Lines>
  <Paragraphs>8</Paragraphs>
  <TotalTime>116</TotalTime>
  <ScaleCrop>false</ScaleCrop>
  <LinksUpToDate>false</LinksUpToDate>
  <CharactersWithSpaces>4245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2018-09-03T06:40:00Z</dcterms:created>
  <dc:creator>lenovo</dc:creator>
  <cp:lastModifiedBy>jun</cp:lastModifiedBy>
  <cp:lastPrinted>2017-01-05T16:24:00Z</cp:lastPrinted>
  <dcterms:modified xsi:type="dcterms:W3CDTF">2018-09-06T07:31:18Z</dcterms:modified>
  <dc:title>《大学英语1》课程教学大纲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