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/>
          <w:b/>
          <w:szCs w:val="21"/>
          <w:lang w:eastAsia="zh-CN"/>
        </w:rPr>
        <w:t>文化产业调研与方法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38"/>
        <w:gridCol w:w="362"/>
        <w:gridCol w:w="615"/>
        <w:gridCol w:w="1502"/>
        <w:gridCol w:w="1627"/>
        <w:gridCol w:w="1538"/>
        <w:gridCol w:w="59"/>
        <w:gridCol w:w="637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7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/>
                <w:b/>
                <w:szCs w:val="21"/>
                <w:lang w:eastAsia="zh-CN"/>
              </w:rPr>
              <w:t>文化产业调研与方法</w:t>
            </w:r>
          </w:p>
        </w:tc>
        <w:tc>
          <w:tcPr>
            <w:tcW w:w="4934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/>
                <w:szCs w:val="21"/>
                <w:lang w:eastAsia="zh-CN"/>
              </w:rPr>
              <w:t>专业选修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/>
                <w:szCs w:val="21"/>
              </w:rPr>
              <w:t>Research and methods of Cultural Indus</w:t>
            </w:r>
            <w:r>
              <w:rPr>
                <w:rFonts w:hint="eastAsia" w:ascii="宋体" w:hAnsi="宋体"/>
                <w:szCs w:val="21"/>
                <w:lang w:eastAsia="zh-CN"/>
              </w:rPr>
              <w:t>tr</w:t>
            </w:r>
            <w:r>
              <w:rPr>
                <w:rFonts w:hint="eastAsia" w:ascii="宋体" w:hAnsi="宋体"/>
                <w:szCs w:val="21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7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36/18/2</w:t>
            </w:r>
          </w:p>
        </w:tc>
        <w:tc>
          <w:tcPr>
            <w:tcW w:w="4934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7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cs="宋体"/>
                <w:sz w:val="20"/>
                <w:szCs w:val="20"/>
              </w:rPr>
              <w:t>1-18周  周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0"/>
                <w:szCs w:val="20"/>
              </w:rPr>
              <w:t>节</w:t>
            </w:r>
          </w:p>
        </w:tc>
        <w:tc>
          <w:tcPr>
            <w:tcW w:w="4934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ascii="ˎ̥" w:hAnsi="ˎ̥"/>
                <w:color w:val="000000"/>
                <w:sz w:val="18"/>
                <w:szCs w:val="18"/>
              </w:rPr>
              <w:t>6D-</w:t>
            </w:r>
            <w:r>
              <w:rPr>
                <w:rFonts w:hint="eastAsia" w:ascii="ˎ̥" w:hAnsi="ˎ̥" w:eastAsiaTheme="minorEastAsia"/>
                <w:color w:val="000000"/>
                <w:sz w:val="18"/>
                <w:szCs w:val="18"/>
                <w:lang w:eastAsia="zh-CN"/>
              </w:rPr>
              <w:t>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ˎ̥" w:hAnsi="ˎ̥"/>
                <w:color w:val="000000"/>
                <w:sz w:val="18"/>
                <w:szCs w:val="18"/>
                <w:lang w:eastAsia="zh-CN"/>
              </w:rPr>
              <w:t>201</w:t>
            </w:r>
            <w:r>
              <w:rPr>
                <w:rFonts w:hint="eastAsia" w:ascii="ˎ̥" w:hAnsi="ˎ̥" w:eastAsiaTheme="minorEastAsia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ˎ̥" w:hAnsi="ˎ̥"/>
                <w:color w:val="000000"/>
                <w:sz w:val="18"/>
                <w:szCs w:val="18"/>
                <w:lang w:eastAsia="zh-CN"/>
              </w:rPr>
              <w:t>文化产业1班 201</w:t>
            </w:r>
            <w:r>
              <w:rPr>
                <w:rFonts w:hint="eastAsia" w:ascii="ˎ̥" w:hAnsi="ˎ̥" w:eastAsiaTheme="minorEastAsia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ˎ̥" w:hAnsi="ˎ̥"/>
                <w:color w:val="000000"/>
                <w:sz w:val="18"/>
                <w:szCs w:val="18"/>
                <w:lang w:eastAsia="zh-CN"/>
              </w:rPr>
              <w:t>文化产业2班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/>
                <w:szCs w:val="21"/>
                <w:lang w:eastAsia="zh-CN"/>
              </w:rPr>
              <w:t>文学及传播学院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/>
                <w:szCs w:val="21"/>
                <w:lang w:eastAsia="zh-CN"/>
              </w:rPr>
              <w:t>张颖君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67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/>
                <w:b/>
                <w:szCs w:val="21"/>
              </w:rPr>
              <w:t>13652680093</w:t>
            </w:r>
          </w:p>
        </w:tc>
        <w:tc>
          <w:tcPr>
            <w:tcW w:w="4934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/>
                <w:b/>
                <w:szCs w:val="21"/>
              </w:rPr>
              <w:t xml:space="preserve"> 841002823@qq.com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18周</w:t>
            </w:r>
            <w:r>
              <w:rPr>
                <w:rFonts w:hint="eastAsia" w:ascii="宋体" w:hAnsi="宋体" w:eastAsiaTheme="minorEastAsia"/>
                <w:b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课室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张梦霞等：《市场调研方法与应用》（经济管理出版社）</w:t>
            </w:r>
          </w:p>
          <w:p>
            <w:pPr>
              <w:tabs>
                <w:tab w:val="left" w:pos="1440"/>
              </w:tabs>
              <w:outlineLvl w:val="0"/>
              <w:rPr>
                <w:rFonts w:hint="eastAsia" w:ascii="宋体" w:hAnsi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以下书籍选读两本</w:t>
            </w:r>
          </w:p>
          <w:p>
            <w:pPr>
              <w:spacing w:line="360" w:lineRule="exact"/>
              <w:rPr>
                <w:rFonts w:hint="eastAsia" w:ascii="宋体" w:hAnsi="宋体" w:cs="宋体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江劲松等：《市场调研》（科学出版社）</w:t>
            </w:r>
          </w:p>
          <w:p>
            <w:pPr>
              <w:rPr>
                <w:rFonts w:hint="eastAsia" w:ascii="宋体" w:hAnsi="宋体" w:cs="宋体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张梦霞等：《市场调研方法》（经济管理出版社）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张梦霞等：《市场调研方法与应用》（经济管理出版社）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line="360" w:lineRule="exact"/>
              <w:ind w:firstLine="422" w:firstLineChars="200"/>
              <w:outlineLvl w:val="0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/>
                <w:lang w:eastAsia="zh-CN"/>
              </w:rPr>
              <w:t>本课程主要教授学生具体的调研方法，关于调查的步骤，不同的调查方法，如何整理信息，应遵循什么资源等。以文化产业为范围，学生以小组实践的方式来选取本地不同的行业来进行调研与分析，从而进一步实践和巩固调研的方法和过程。加强学生对于文化产业中不同行业或项目的深入了解，实践调研的方法和步骤，提升其专业技能和素养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094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pStyle w:val="2"/>
              <w:ind w:firstLine="415" w:firstLineChars="197"/>
              <w:rPr>
                <w:rFonts w:hint="eastAsia" w:hAnsi="宋体" w:cs="宋体"/>
                <w:b/>
                <w:color w:val="000000"/>
                <w:szCs w:val="24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1.</w:t>
            </w:r>
            <w:r>
              <w:rPr>
                <w:rFonts w:hint="eastAsia" w:hAnsi="宋体" w:cs="宋体"/>
                <w:b/>
                <w:color w:val="000000"/>
                <w:szCs w:val="24"/>
              </w:rPr>
              <w:t xml:space="preserve"> 知识与技能目标：</w:t>
            </w:r>
          </w:p>
          <w:p>
            <w:pPr>
              <w:pStyle w:val="2"/>
              <w:ind w:firstLine="472" w:firstLineChars="197"/>
              <w:rPr>
                <w:bCs/>
                <w:color w:val="000000"/>
                <w:szCs w:val="24"/>
              </w:rPr>
            </w:pPr>
            <w:r>
              <w:rPr>
                <w:rFonts w:hint="eastAsia"/>
                <w:bCs/>
                <w:color w:val="000000"/>
                <w:szCs w:val="24"/>
              </w:rPr>
              <w:t>让学生基本掌握文化产业的调研方法，实践调研的步骤和目标分析。通过课堂讲授、小组实践，合作性学习等一系列教学活动，使学生掌握科学的调研方法，从宏观与微观因素分析影响调研的历史、文化、政治等因素，理解与吸收不同文化行业的共性和特殊性。</w:t>
            </w:r>
          </w:p>
          <w:p>
            <w:pPr>
              <w:pStyle w:val="2"/>
              <w:ind w:firstLine="415" w:firstLineChars="197"/>
              <w:rPr>
                <w:rFonts w:hint="eastAsia"/>
                <w:b/>
                <w:bCs/>
                <w:color w:val="000000"/>
                <w:szCs w:val="24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2.</w:t>
            </w:r>
            <w:r>
              <w:rPr>
                <w:rFonts w:hint="eastAsia"/>
                <w:b/>
                <w:bCs/>
                <w:color w:val="000000"/>
                <w:szCs w:val="24"/>
              </w:rPr>
              <w:t xml:space="preserve"> 情感和价值观发展目标：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80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通过教学实践从而扩宽学生对文化产业的视野和想象，培养其对文化产业具体项目的</w:t>
            </w:r>
            <w:r>
              <w:rPr>
                <w:rFonts w:hint="eastAsia"/>
                <w:bCs/>
                <w:lang w:eastAsia="zh-CN"/>
              </w:rPr>
              <w:t>客观分析能力</w:t>
            </w:r>
            <w:r>
              <w:rPr>
                <w:rFonts w:hint="eastAsia"/>
                <w:lang w:eastAsia="zh-CN"/>
              </w:rPr>
              <w:t>和</w:t>
            </w:r>
            <w:r>
              <w:rPr>
                <w:rFonts w:hint="eastAsia"/>
                <w:bCs/>
                <w:lang w:eastAsia="zh-CN"/>
              </w:rPr>
              <w:t>批判性独立思考</w:t>
            </w:r>
            <w:r>
              <w:rPr>
                <w:rFonts w:hint="eastAsia"/>
                <w:lang w:eastAsia="zh-CN"/>
              </w:rPr>
              <w:t>。独立的研究分析对于知识的认识和理解相当重要，在教学中注重与学生分享多元的文化价值观，让学生对于知识的理解保持理性客观，培养其严谨的学习和研究素养。</w:t>
            </w:r>
          </w:p>
          <w:p>
            <w:pPr>
              <w:spacing w:line="360" w:lineRule="exact"/>
              <w:ind w:firstLine="422" w:firstLineChars="200"/>
              <w:rPr>
                <w:rFonts w:hint="eastAsia"/>
                <w:b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/>
                <w:b/>
                <w:lang w:eastAsia="zh-CN"/>
              </w:rPr>
              <w:t xml:space="preserve"> 完善专业学习，加强实践能力</w:t>
            </w:r>
          </w:p>
          <w:p>
            <w:pPr>
              <w:spacing w:line="360" w:lineRule="exact"/>
              <w:ind w:firstLine="480" w:firstLineChars="200"/>
              <w:rPr>
                <w:rFonts w:eastAsiaTheme="minorEastAsia"/>
                <w:lang w:eastAsia="zh-CN"/>
              </w:rPr>
            </w:pPr>
            <w:r>
              <w:rPr>
                <w:rFonts w:hint="eastAsia" w:hAnsi="宋体"/>
                <w:color w:val="000000"/>
                <w:lang w:eastAsia="zh-CN"/>
              </w:rPr>
              <w:t>本课程为专业必修，与专业课密切相关的课程有的大一《文化产业学》，大二《文化资源学》等。本课程主要衔接大一的专业概论的内容，加强对于经典案例的深入分析，从纵向培养学生对于专业知识的掌握；同时横向与大二其他课程内容互相补充，希望给学生提供点面结合的知识脉络。</w:t>
            </w:r>
          </w:p>
        </w:tc>
        <w:tc>
          <w:tcPr>
            <w:tcW w:w="3307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15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66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9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课程简介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简介调研与方法</w:t>
            </w:r>
          </w:p>
        </w:tc>
        <w:tc>
          <w:tcPr>
            <w:tcW w:w="61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介绍课程的内容和目标</w:t>
            </w:r>
          </w:p>
        </w:tc>
        <w:tc>
          <w:tcPr>
            <w:tcW w:w="696" w:type="dxa"/>
            <w:gridSpan w:val="2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阅读参考资料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确定调研问题</w:t>
            </w:r>
          </w:p>
        </w:tc>
        <w:tc>
          <w:tcPr>
            <w:tcW w:w="615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教授并指导学生确定小组问题</w:t>
            </w:r>
          </w:p>
        </w:tc>
        <w:tc>
          <w:tcPr>
            <w:tcW w:w="696" w:type="dxa"/>
            <w:gridSpan w:val="2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设计调研方案</w:t>
            </w:r>
          </w:p>
        </w:tc>
        <w:tc>
          <w:tcPr>
            <w:tcW w:w="615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教授并指导学生设计具体方案</w:t>
            </w:r>
          </w:p>
        </w:tc>
        <w:tc>
          <w:tcPr>
            <w:tcW w:w="696" w:type="dxa"/>
            <w:gridSpan w:val="2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调查信息获取渠道</w:t>
            </w:r>
          </w:p>
        </w:tc>
        <w:tc>
          <w:tcPr>
            <w:tcW w:w="615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引导学生可搜集资料的渠道</w:t>
            </w:r>
          </w:p>
        </w:tc>
        <w:tc>
          <w:tcPr>
            <w:tcW w:w="696" w:type="dxa"/>
            <w:gridSpan w:val="2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课堂讲授、课堂讨论</w:t>
            </w:r>
          </w:p>
        </w:tc>
        <w:tc>
          <w:tcPr>
            <w:tcW w:w="1073" w:type="dxa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如何选取调查样本</w:t>
            </w:r>
          </w:p>
        </w:tc>
        <w:tc>
          <w:tcPr>
            <w:tcW w:w="61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选取样本的内容和范围</w:t>
            </w:r>
          </w:p>
        </w:tc>
        <w:tc>
          <w:tcPr>
            <w:tcW w:w="696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社会调查方法类型</w:t>
            </w:r>
          </w:p>
        </w:tc>
        <w:tc>
          <w:tcPr>
            <w:tcW w:w="61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教授相关类型</w:t>
            </w:r>
          </w:p>
        </w:tc>
        <w:tc>
          <w:tcPr>
            <w:tcW w:w="696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  <w:tcBorders>
              <w:bottom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设计调查问卷（上）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教授如何设计问题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课堂讲授、课堂讨论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设计调查问卷（下）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学生确定调查问卷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如何统计分析数据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 xml:space="preserve">相关软件和技能 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教学调研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eastAsia="宋体"/>
                <w:lang w:eastAsia="zh-CN"/>
              </w:rPr>
              <w:t>实地教授问卷调研方式方法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户外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小组汇报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小组汇报相关进度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课堂讲授、课堂讨论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补充调查信息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如何补充缺乏信息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课堂讲授、课堂讨论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如何撰写调研报告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撰写报告的方法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各小组进行案例调研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进行案例调研与分析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户外调研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</w:rPr>
            </w:pPr>
            <w:r>
              <w:rPr>
                <w:rFonts w:hint="eastAsia"/>
              </w:rPr>
              <w:t>小组落实调研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小组汇报调研情况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</w:rPr>
            </w:pPr>
            <w:r>
              <w:rPr>
                <w:rFonts w:hint="eastAsia"/>
              </w:rPr>
              <w:t>小组落实情况跟踪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落实问题中遇到的疑难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</w:rPr>
            </w:pPr>
            <w:r>
              <w:rPr>
                <w:rFonts w:hint="eastAsia"/>
              </w:rPr>
              <w:t>课程总结，小组汇报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检验小组成果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教学实践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进行案例调研与总结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户外调研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5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15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66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7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15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1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3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6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调查问卷实地调研</w:t>
            </w:r>
          </w:p>
        </w:tc>
        <w:tc>
          <w:tcPr>
            <w:tcW w:w="615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实地教授问卷调研方式方法</w:t>
            </w:r>
          </w:p>
        </w:tc>
        <w:tc>
          <w:tcPr>
            <w:tcW w:w="153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9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各小组进行案例调研</w:t>
            </w:r>
          </w:p>
        </w:tc>
        <w:tc>
          <w:tcPr>
            <w:tcW w:w="615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实践案例调研分析与方法</w:t>
            </w:r>
          </w:p>
        </w:tc>
        <w:tc>
          <w:tcPr>
            <w:tcW w:w="153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9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教学实践</w:t>
            </w:r>
          </w:p>
        </w:tc>
        <w:tc>
          <w:tcPr>
            <w:tcW w:w="615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进行案例调研与总结</w:t>
            </w:r>
          </w:p>
        </w:tc>
        <w:tc>
          <w:tcPr>
            <w:tcW w:w="153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9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户外调研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50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15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12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69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8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3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8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到堂情况</w:t>
            </w:r>
          </w:p>
        </w:tc>
        <w:tc>
          <w:tcPr>
            <w:tcW w:w="5703" w:type="dxa"/>
            <w:gridSpan w:val="6"/>
            <w:vAlign w:val="center"/>
          </w:tcPr>
          <w:p>
            <w:pPr>
              <w:snapToGrid w:val="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不迟到、不早退、不旷课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napToGrid w:val="0"/>
              <w:ind w:left="18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8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课堂讨论</w:t>
            </w:r>
          </w:p>
        </w:tc>
        <w:tc>
          <w:tcPr>
            <w:tcW w:w="5703" w:type="dxa"/>
            <w:gridSpan w:val="6"/>
            <w:vAlign w:val="center"/>
          </w:tcPr>
          <w:p>
            <w:pPr>
              <w:snapToGrid w:val="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课前准备充分，课堂积极发言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napToGrid w:val="0"/>
              <w:ind w:left="18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8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期中作业</w:t>
            </w:r>
          </w:p>
        </w:tc>
        <w:tc>
          <w:tcPr>
            <w:tcW w:w="5703" w:type="dxa"/>
            <w:gridSpan w:val="6"/>
            <w:vAlign w:val="center"/>
          </w:tcPr>
          <w:p>
            <w:pPr>
              <w:snapToGrid w:val="0"/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按时按量完成，根据质量判定评分等级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napToGrid w:val="0"/>
              <w:ind w:left="18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8" w:type="dxa"/>
            <w:gridSpan w:val="2"/>
            <w:vAlign w:val="center"/>
          </w:tcPr>
          <w:p>
            <w:pPr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期末考试</w:t>
            </w:r>
          </w:p>
        </w:tc>
        <w:tc>
          <w:tcPr>
            <w:tcW w:w="5703" w:type="dxa"/>
            <w:gridSpan w:val="6"/>
          </w:tcPr>
          <w:p>
            <w:pPr>
              <w:snapToGrid w:val="0"/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根据评分标准评定分数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napToGrid w:val="0"/>
              <w:ind w:left="18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ind w:firstLine="1080" w:firstLineChars="45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我院（系）教学指导委员会已对本课程教学大纲进行了审查，同意执行。</w:t>
            </w: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B5784"/>
    <w:rsid w:val="002E27E1"/>
    <w:rsid w:val="003044FA"/>
    <w:rsid w:val="0037561C"/>
    <w:rsid w:val="00395515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4627E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CD6118"/>
    <w:rsid w:val="00CF1DF1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EF6CC7"/>
    <w:rsid w:val="00F31667"/>
    <w:rsid w:val="00F617C2"/>
    <w:rsid w:val="00F96D96"/>
    <w:rsid w:val="00FE22C8"/>
    <w:rsid w:val="049556A5"/>
    <w:rsid w:val="28AD1D92"/>
    <w:rsid w:val="2C23799B"/>
    <w:rsid w:val="62602D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15"/>
    <w:qFormat/>
    <w:uiPriority w:val="0"/>
    <w:rPr>
      <w:rFonts w:ascii="宋体" w:hAnsi="Courier New" w:eastAsia="宋体" w:cs="Times New Roman"/>
      <w:kern w:val="2"/>
      <w:sz w:val="24"/>
      <w:lang w:val="en-US" w:eastAsia="zh-CN" w:bidi="ar-SA"/>
    </w:rPr>
  </w:style>
  <w:style w:type="paragraph" w:styleId="3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5"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character" w:customStyle="1" w:styleId="15">
    <w:name w:val="纯文本 Char"/>
    <w:basedOn w:val="6"/>
    <w:link w:val="2"/>
    <w:qFormat/>
    <w:uiPriority w:val="0"/>
    <w:rPr>
      <w:rFonts w:ascii="宋体" w:hAnsi="Courier New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0AE01A-F324-4C99-B20F-24D95C8D80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353</Words>
  <Characters>2018</Characters>
  <Lines>16</Lines>
  <Paragraphs>4</Paragraphs>
  <TotalTime>0</TotalTime>
  <ScaleCrop>false</ScaleCrop>
  <LinksUpToDate>false</LinksUpToDate>
  <CharactersWithSpaces>2367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Zhang</cp:lastModifiedBy>
  <cp:lastPrinted>2017-01-05T16:24:00Z</cp:lastPrinted>
  <dcterms:modified xsi:type="dcterms:W3CDTF">2018-06-04T06:14:09Z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