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hint="eastAsia" w:ascii="宋体" w:hAnsi="宋体" w:eastAsia="宋体"/>
          <w:b/>
          <w:sz w:val="32"/>
          <w:szCs w:val="32"/>
          <w:lang w:val="en-US" w:eastAsia="zh-CN"/>
        </w:rPr>
      </w:pPr>
      <w:r>
        <w:rPr>
          <w:rFonts w:hint="eastAsia" w:ascii="宋体" w:hAnsi="宋体" w:eastAsia="宋体"/>
          <w:b/>
          <w:sz w:val="32"/>
          <w:szCs w:val="32"/>
          <w:lang w:val="en-US" w:eastAsia="zh-CN"/>
        </w:rPr>
        <w:t>王凌卿</w:t>
      </w:r>
      <w:r>
        <w:rPr>
          <w:rFonts w:hint="eastAsia" w:ascii="宋体" w:hAnsi="宋体"/>
          <w:b/>
          <w:sz w:val="32"/>
          <w:szCs w:val="32"/>
        </w:rPr>
        <w:t>《</w:t>
      </w:r>
      <w:r>
        <w:rPr>
          <w:rFonts w:hint="eastAsia" w:ascii="宋体" w:hAnsi="宋体" w:eastAsia="宋体"/>
          <w:b/>
          <w:sz w:val="32"/>
          <w:szCs w:val="32"/>
          <w:lang w:val="en-US" w:eastAsia="zh-CN"/>
        </w:rPr>
        <w:t>艺术概论</w:t>
      </w:r>
      <w:r>
        <w:rPr>
          <w:rFonts w:hint="eastAsia" w:ascii="宋体" w:hAnsi="宋体"/>
          <w:b/>
          <w:sz w:val="32"/>
          <w:szCs w:val="32"/>
        </w:rPr>
        <w:t>》课程教学大纲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50"/>
        <w:gridCol w:w="85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b/>
                <w:sz w:val="21"/>
                <w:szCs w:val="21"/>
              </w:rPr>
              <w:t>课程名称：</w:t>
            </w:r>
            <w:r>
              <w:rPr>
                <w:rFonts w:hint="eastAsia" w:ascii="宋体" w:hAnsi="宋体" w:eastAsia="宋体"/>
                <w:b/>
                <w:sz w:val="21"/>
                <w:szCs w:val="21"/>
                <w:lang w:val="en-US" w:eastAsia="zh-CN"/>
              </w:rPr>
              <w:t>艺术概论</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课程英文名称：Introduction to 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总学时/周学时/学分：</w:t>
            </w:r>
            <w:r>
              <w:rPr>
                <w:rFonts w:hint="eastAsia" w:ascii="宋体" w:hAnsi="宋体" w:eastAsia="宋体"/>
                <w:b/>
                <w:sz w:val="21"/>
                <w:szCs w:val="21"/>
                <w:lang w:val="en-US" w:eastAsia="zh-CN"/>
              </w:rPr>
              <w:t>32/2/2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sz w:val="21"/>
                <w:szCs w:val="21"/>
                <w:lang w:val="en-US" w:eastAsia="zh-CN"/>
              </w:rPr>
            </w:pPr>
            <w:r>
              <w:rPr>
                <w:rFonts w:hint="eastAsia" w:ascii="宋体" w:hAnsi="宋体" w:eastAsia="宋体"/>
                <w:b/>
                <w:sz w:val="21"/>
                <w:szCs w:val="21"/>
              </w:rPr>
              <w:t xml:space="preserve">先修课程： </w:t>
            </w:r>
            <w:r>
              <w:rPr>
                <w:rFonts w:hint="eastAsia" w:ascii="宋体" w:hAnsi="宋体" w:eastAsia="宋体"/>
                <w:b/>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授课时间：</w:t>
            </w:r>
            <w:r>
              <w:rPr>
                <w:rFonts w:hint="eastAsia" w:ascii="宋体" w:hAnsi="宋体" w:eastAsia="宋体"/>
                <w:b/>
                <w:sz w:val="21"/>
                <w:szCs w:val="21"/>
                <w:lang w:eastAsia="zh-CN"/>
              </w:rPr>
              <w:t>周二</w:t>
            </w:r>
            <w:r>
              <w:rPr>
                <w:rFonts w:hint="eastAsia" w:ascii="宋体" w:hAnsi="宋体" w:eastAsia="宋体"/>
                <w:b/>
                <w:sz w:val="21"/>
                <w:szCs w:val="21"/>
                <w:lang w:val="en-US" w:eastAsia="zh-CN"/>
              </w:rPr>
              <w:t>3、4节</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授课地点：</w:t>
            </w:r>
            <w:r>
              <w:rPr>
                <w:rFonts w:hint="eastAsia" w:ascii="宋体" w:hAnsi="宋体" w:eastAsia="宋体"/>
                <w:b/>
                <w:sz w:val="21"/>
                <w:szCs w:val="21"/>
                <w:lang w:val="en-US" w:eastAsia="zh-CN"/>
              </w:rPr>
              <w:t>6C-401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sz w:val="21"/>
                <w:szCs w:val="21"/>
                <w:lang w:val="en-US" w:eastAsia="zh-CN"/>
              </w:rPr>
            </w:pPr>
            <w:r>
              <w:rPr>
                <w:rFonts w:hint="eastAsia" w:ascii="宋体" w:hAnsi="宋体" w:eastAsia="宋体"/>
                <w:b/>
                <w:sz w:val="21"/>
                <w:szCs w:val="21"/>
              </w:rPr>
              <w:t>授课对象：</w:t>
            </w:r>
            <w:r>
              <w:rPr>
                <w:rFonts w:hint="eastAsia" w:ascii="宋体" w:hAnsi="宋体" w:eastAsia="宋体"/>
                <w:b/>
                <w:sz w:val="21"/>
                <w:szCs w:val="21"/>
                <w:lang w:val="en-US" w:eastAsia="zh-CN"/>
              </w:rPr>
              <w:t>2018电视编导1班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sz w:val="21"/>
                <w:szCs w:val="21"/>
                <w:lang w:val="en-US" w:eastAsia="zh-CN"/>
              </w:rPr>
              <w:t>文学与传媒</w:t>
            </w:r>
            <w:r>
              <w:rPr>
                <w:rFonts w:hint="eastAsia" w:ascii="宋体" w:hAnsi="宋体" w:eastAsia="宋体"/>
                <w:b/>
                <w:sz w:val="21"/>
                <w:szCs w:val="21"/>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sz w:val="21"/>
                <w:szCs w:val="21"/>
                <w:lang w:val="en-US" w:eastAsia="zh-CN"/>
              </w:rPr>
              <w:t>王凌卿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联系电话：</w:t>
            </w:r>
            <w:r>
              <w:rPr>
                <w:rFonts w:hint="eastAsia" w:ascii="宋体" w:hAnsi="宋体" w:eastAsia="宋体"/>
                <w:b/>
                <w:sz w:val="21"/>
                <w:szCs w:val="21"/>
                <w:lang w:val="en-US" w:eastAsia="zh-CN"/>
              </w:rPr>
              <w:t>13712893367</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Email:</w:t>
            </w:r>
            <w:r>
              <w:rPr>
                <w:rFonts w:hint="eastAsia" w:ascii="宋体" w:hAnsi="宋体" w:eastAsia="宋体"/>
                <w:b/>
                <w:sz w:val="21"/>
                <w:szCs w:val="21"/>
                <w:lang w:val="en-US" w:eastAsia="zh-CN"/>
              </w:rPr>
              <w:t>811424148@qq.com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cs="Times New Roman"/>
                <w:b w:val="0"/>
                <w:kern w:val="2"/>
                <w:sz w:val="21"/>
                <w:szCs w:val="21"/>
                <w:lang w:val="en-US" w:eastAsia="zh-CN" w:bidi="ar-SA"/>
              </w:rPr>
              <w:t>随堂答疑、课后答疑、微信答疑、邮件答疑等。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default"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cs="Times New Roman"/>
                <w:b w:val="0"/>
                <w:kern w:val="2"/>
                <w:sz w:val="21"/>
                <w:szCs w:val="21"/>
                <w:lang w:val="en-US" w:eastAsia="zh-CN" w:bidi="ar-SA"/>
              </w:rPr>
              <w:t>《艺术美育》，凌晓蕾编著，暨南大学出版社，2006年4月第1版</w:t>
            </w:r>
          </w:p>
          <w:p>
            <w:pPr>
              <w:tabs>
                <w:tab w:val="left" w:pos="1440"/>
              </w:tabs>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b/>
                <w:bCs/>
                <w:sz w:val="21"/>
                <w:szCs w:val="21"/>
                <w:lang w:eastAsia="zh-CN"/>
              </w:rPr>
              <w:t>：</w:t>
            </w:r>
            <w:r>
              <w:rPr>
                <w:rFonts w:hint="eastAsia" w:ascii="宋体" w:hAnsi="宋体" w:eastAsia="宋体" w:cs="Times New Roman"/>
                <w:b w:val="0"/>
                <w:kern w:val="2"/>
                <w:sz w:val="21"/>
                <w:szCs w:val="21"/>
                <w:lang w:val="en-US" w:eastAsia="zh-CN" w:bidi="ar-SA"/>
              </w:rPr>
              <w:t>《美学与艺术鉴赏》，金元蒲主编，首都师范大学出版社，1999年9月第1版  《艺术鉴赏》，李伟权主编，清华大学出版社，2013年8月第1版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outlineLvl w:val="0"/>
              <w:rPr>
                <w:rFonts w:hint="eastAsia" w:ascii="宋体" w:hAnsi="宋体" w:eastAsia="宋体"/>
                <w:b/>
                <w:sz w:val="21"/>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Times New Roman"/>
                <w:b w:val="0"/>
                <w:kern w:val="2"/>
                <w:sz w:val="21"/>
                <w:szCs w:val="21"/>
                <w:lang w:val="en-US" w:eastAsia="zh-CN" w:bidi="ar-SA"/>
              </w:rPr>
              <w:t>课程通过对经典艺术作品的鉴赏，对基本审美理念和审美方法的学习，丰富学生的艺术基础知识、艺术理论知识、提高他们的艺术感悟能力和艺术鉴赏能力，为《文艺理论》、《美学理论》等后续课程奠定基础。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hint="eastAsia" w:ascii="宋体" w:hAnsi="宋体" w:eastAsia="宋体"/>
                <w:b/>
                <w:sz w:val="21"/>
                <w:szCs w:val="21"/>
                <w:lang w:eastAsia="zh-CN"/>
              </w:rPr>
            </w:pPr>
            <w:r>
              <w:rPr>
                <w:rFonts w:hint="eastAsia" w:ascii="宋体" w:hAnsi="宋体" w:eastAsia="宋体"/>
                <w:b/>
                <w:sz w:val="21"/>
                <w:szCs w:val="21"/>
                <w:lang w:val="en-US" w:eastAsia="zh-CN"/>
              </w:rPr>
              <w:t>1、</w:t>
            </w:r>
            <w:r>
              <w:rPr>
                <w:rFonts w:hint="eastAsia" w:ascii="宋体" w:hAnsi="宋体" w:eastAsia="宋体"/>
                <w:b/>
                <w:sz w:val="21"/>
                <w:szCs w:val="21"/>
                <w:lang w:eastAsia="zh-CN"/>
              </w:rPr>
              <w:t>丰富学生的艺术基础知识、艺术理论知识、提高他们的艺术感悟能力和艺术鉴赏能力。（</w:t>
            </w:r>
            <w:r>
              <w:rPr>
                <w:rFonts w:hint="eastAsia" w:ascii="宋体" w:hAnsi="宋体" w:eastAsia="宋体"/>
                <w:b/>
                <w:sz w:val="21"/>
                <w:szCs w:val="21"/>
                <w:lang w:val="en-US" w:eastAsia="zh-CN"/>
              </w:rPr>
              <w:t>理解、分析</w:t>
            </w:r>
            <w:r>
              <w:rPr>
                <w:rFonts w:hint="eastAsia" w:ascii="宋体" w:hAnsi="宋体" w:eastAsia="宋体"/>
                <w:b/>
                <w:sz w:val="21"/>
                <w:szCs w:val="21"/>
                <w:lang w:eastAsia="zh-CN"/>
              </w:rPr>
              <w:t>）</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val="en-US" w:eastAsia="zh-CN"/>
              </w:rPr>
              <w:t>2、</w:t>
            </w:r>
            <w:r>
              <w:rPr>
                <w:rFonts w:hint="eastAsia" w:ascii="宋体" w:hAnsi="宋体" w:eastAsia="宋体"/>
                <w:b/>
                <w:sz w:val="21"/>
                <w:szCs w:val="21"/>
                <w:lang w:eastAsia="zh-CN"/>
              </w:rPr>
              <w:t>培养他们热爱美、追求美、创造美的高尚情怀，培养他们对中外优秀优秀艺术和文化的热爱。（</w:t>
            </w:r>
            <w:r>
              <w:rPr>
                <w:rFonts w:hint="eastAsia" w:ascii="宋体" w:hAnsi="宋体" w:eastAsia="宋体"/>
                <w:b/>
                <w:sz w:val="21"/>
                <w:szCs w:val="21"/>
                <w:lang w:val="en-US" w:eastAsia="zh-CN"/>
              </w:rPr>
              <w:t>综合、运用</w:t>
            </w:r>
            <w:r>
              <w:rPr>
                <w:rFonts w:hint="eastAsia" w:ascii="宋体" w:hAnsi="宋体" w:eastAsia="宋体"/>
                <w:b/>
                <w:sz w:val="21"/>
                <w:szCs w:val="21"/>
                <w:lang w:eastAsia="zh-CN"/>
              </w:rPr>
              <w:t>）</w:t>
            </w:r>
          </w:p>
          <w:p>
            <w:pPr>
              <w:tabs>
                <w:tab w:val="left" w:pos="1440"/>
              </w:tabs>
              <w:spacing w:after="0" w:line="0" w:lineRule="atLeast"/>
              <w:ind w:firstLine="422" w:firstLineChars="200"/>
              <w:outlineLvl w:val="0"/>
              <w:rPr>
                <w:rFonts w:hint="eastAsia" w:ascii="宋体" w:hAnsi="宋体" w:eastAsia="宋体"/>
                <w:b/>
                <w:sz w:val="21"/>
                <w:szCs w:val="21"/>
                <w:lang w:eastAsia="zh-CN"/>
              </w:rPr>
            </w:pPr>
            <w:r>
              <w:rPr>
                <w:rFonts w:hint="eastAsia" w:ascii="宋体" w:hAnsi="宋体" w:eastAsia="宋体"/>
                <w:b/>
                <w:sz w:val="21"/>
                <w:szCs w:val="21"/>
                <w:lang w:val="en-US" w:eastAsia="zh-CN"/>
              </w:rPr>
              <w:t>3、</w:t>
            </w:r>
            <w:r>
              <w:rPr>
                <w:rFonts w:hint="eastAsia" w:ascii="宋体" w:hAnsi="宋体" w:eastAsia="宋体"/>
                <w:b/>
                <w:sz w:val="21"/>
                <w:szCs w:val="21"/>
                <w:lang w:eastAsia="zh-CN"/>
              </w:rPr>
              <w:t>了解美的</w:t>
            </w:r>
            <w:r>
              <w:rPr>
                <w:rFonts w:hint="eastAsia" w:ascii="宋体" w:hAnsi="宋体" w:eastAsia="宋体"/>
                <w:b/>
                <w:sz w:val="21"/>
                <w:szCs w:val="21"/>
                <w:lang w:val="en-US" w:eastAsia="zh-CN"/>
              </w:rPr>
              <w:t>基本</w:t>
            </w:r>
            <w:r>
              <w:rPr>
                <w:rFonts w:hint="eastAsia" w:ascii="宋体" w:hAnsi="宋体" w:eastAsia="宋体"/>
                <w:b/>
                <w:sz w:val="21"/>
                <w:szCs w:val="21"/>
                <w:lang w:eastAsia="zh-CN"/>
              </w:rPr>
              <w:t>哲学意蕴，</w:t>
            </w:r>
            <w:r>
              <w:rPr>
                <w:rFonts w:hint="eastAsia" w:ascii="宋体" w:hAnsi="宋体" w:eastAsia="宋体"/>
                <w:b/>
                <w:sz w:val="21"/>
                <w:szCs w:val="21"/>
                <w:lang w:val="en-US" w:eastAsia="zh-CN"/>
              </w:rPr>
              <w:t>掌握</w:t>
            </w:r>
            <w:r>
              <w:rPr>
                <w:rFonts w:hint="eastAsia" w:ascii="宋体" w:hAnsi="宋体" w:eastAsia="宋体"/>
                <w:b/>
                <w:sz w:val="21"/>
                <w:szCs w:val="21"/>
                <w:lang w:eastAsia="zh-CN"/>
              </w:rPr>
              <w:t>一定的美学理论知识。理解古今中外对于美感的不同解读以及美感的培养方式，用理论指导实践，提高审美能力。（</w:t>
            </w:r>
            <w:r>
              <w:rPr>
                <w:rFonts w:hint="eastAsia" w:ascii="宋体" w:hAnsi="宋体" w:eastAsia="宋体"/>
                <w:b/>
                <w:sz w:val="21"/>
                <w:szCs w:val="21"/>
                <w:lang w:val="en-US" w:eastAsia="zh-CN"/>
              </w:rPr>
              <w:t>综合、评价</w:t>
            </w:r>
            <w:bookmarkStart w:id="0" w:name="_GoBack"/>
            <w:bookmarkEnd w:id="0"/>
            <w:r>
              <w:rPr>
                <w:rFonts w:hint="eastAsia" w:ascii="宋体" w:hAnsi="宋体" w:eastAsia="宋体"/>
                <w:b/>
                <w:sz w:val="21"/>
                <w:szCs w:val="21"/>
                <w:lang w:eastAsia="zh-CN"/>
              </w:rPr>
              <w:t>）</w:t>
            </w: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6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4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textDirection w:val="lrTb"/>
            <w:vAlign w:val="top"/>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艺术美育</w:t>
            </w:r>
            <w:r>
              <w:rPr>
                <w:rFonts w:hint="eastAsia" w:ascii="宋体" w:hAnsi="宋体" w:eastAsia="宋体"/>
                <w:sz w:val="21"/>
                <w:szCs w:val="21"/>
                <w:lang w:eastAsia="zh-CN"/>
              </w:rPr>
              <w:t>概述</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extDirection w:val="lrTb"/>
            <w:vAlign w:val="top"/>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什么是艺术鉴赏与艺术美育，艺术鉴赏和美育的社会功能，艺术鉴赏的特点及主要内容。</w:t>
            </w:r>
          </w:p>
        </w:tc>
        <w:tc>
          <w:tcPr>
            <w:tcW w:w="1342"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书法艺术鉴赏</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掌握书法是一种线条造型艺术，它具有传统性、抽象性、抒情性、不可重复性等特点。掌握书法的审美价值和欣赏要点。</w:t>
            </w:r>
          </w:p>
        </w:tc>
        <w:tc>
          <w:tcPr>
            <w:tcW w:w="1342"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绘画艺术鉴赏</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了解绘画艺术的审美价值，中西方绘画的历史、主要画家及作品，了解中西方绘画写实与写意、焦点透视与散点透视、画面情节和象外之象、线条与色彩等的区别等</w:t>
            </w:r>
          </w:p>
        </w:tc>
        <w:tc>
          <w:tcPr>
            <w:tcW w:w="1342"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728" w:type="dxa"/>
            <w:gridSpan w:val="2"/>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绘画艺术鉴赏</w:t>
            </w:r>
          </w:p>
        </w:tc>
        <w:tc>
          <w:tcPr>
            <w:tcW w:w="623" w:type="dxa"/>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了解绘画艺术的审美价值，中西方绘画的历史、主要画家及作品，了解中西方绘画写实与写意、焦点透视与散点透视、画面情节和象外之象、线条与色彩等的区别等</w:t>
            </w:r>
          </w:p>
        </w:tc>
        <w:tc>
          <w:tcPr>
            <w:tcW w:w="1342"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雕塑艺术欣赏</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了解雕塑艺术的审美价值，中西方雕塑的发展历程以及中国雕塑的特点。理解雕塑的表现形式，中国雕塑取材类型化的利弊以及什么叫“舍其形而取其神”</w:t>
            </w:r>
          </w:p>
        </w:tc>
        <w:tc>
          <w:tcPr>
            <w:tcW w:w="1342"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728" w:type="dxa"/>
            <w:gridSpan w:val="2"/>
            <w:tcBorders>
              <w:bottom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雕塑艺术欣赏</w:t>
            </w:r>
          </w:p>
        </w:tc>
        <w:tc>
          <w:tcPr>
            <w:tcW w:w="623" w:type="dxa"/>
            <w:tcBorders>
              <w:bottom w:val="single" w:color="auto" w:sz="4" w:space="0"/>
            </w:tcBorders>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bottom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了解雕塑艺术的审美价值，中西方雕塑的发展历程以及中国雕塑的特点。理解雕塑的表现形式，中国雕塑取材类型化的利弊以及什么叫“舍其形而取其神”</w:t>
            </w:r>
          </w:p>
        </w:tc>
        <w:tc>
          <w:tcPr>
            <w:tcW w:w="1342" w:type="dxa"/>
            <w:gridSpan w:val="2"/>
            <w:tcBorders>
              <w:bottom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建筑艺术欣赏</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中西方建筑的发展历程以及建筑艺术的审美价值。重点掌握建筑的音乐美？为什么说建筑是人类历史的见证？为什么说建筑能够反映社会主题，揭示生活本质？为什么说建筑能够表现民族作风和民族气概？建筑是怎样运用象征手法正面反映现实的？</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建筑艺术欣赏</w:t>
            </w:r>
          </w:p>
        </w:tc>
        <w:tc>
          <w:tcPr>
            <w:tcW w:w="623" w:type="dxa"/>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中西方建筑的发展历程以及建筑艺术的审美价值。重点掌握建筑的音乐美？为什么说建筑是人类历史的见证？为什么说建筑能够反映社会主题，揭示生活本质？为什么说建筑能够表现民族作风和民族气概？建筑是怎样运用象征手法正面反映现实的？</w:t>
            </w:r>
          </w:p>
        </w:tc>
        <w:tc>
          <w:tcPr>
            <w:tcW w:w="1342"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园林艺术欣赏</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了解中西方园林艺术的不同。重点了解建筑、植物、雕塑、山水等中西方园林要素的区别。</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音乐艺术欣赏</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掌握音乐艺术的总体特征；西方音乐艺术与中国音乐艺术的历史发展特点以及各自的总体神韵和特征；了解各流派音乐的基本特点；大师及其代表作的艺术内涵。</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舞蹈艺术欣赏</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对舞蹈艺术的总体特征进行把握并了解舞蹈的社会功能及审美价值。掌握舞蹈的音乐性与雕塑性等特点；了解舞蹈的基本性质及种类；对各个主要舞种有基本的认识及鉴赏能力。</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戏曲艺术鉴赏</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对戏曲艺术的特征、艺术语言有整体把握。结合戏曲作品的赏析，加深对戏曲的虚拟性、程式性等艺术特征的理解。</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课堂</w:t>
            </w:r>
            <w:r>
              <w:rPr>
                <w:rFonts w:hint="eastAsia" w:ascii="宋体" w:hAnsi="宋体" w:eastAsia="宋体"/>
                <w:sz w:val="21"/>
                <w:szCs w:val="21"/>
                <w:lang w:eastAsia="zh-CN"/>
              </w:rPr>
              <w:t>讲授</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完成</w:t>
            </w:r>
            <w:r>
              <w:rPr>
                <w:rFonts w:hint="eastAsia" w:ascii="宋体" w:hAnsi="宋体" w:eastAsia="宋体"/>
                <w:sz w:val="21"/>
                <w:szCs w:val="21"/>
                <w:lang w:val="en-US" w:eastAsia="zh-CN"/>
              </w:rPr>
              <w:t>相应习题库习题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电影艺术鉴赏</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通过电影艺术特征及基本表现规律的介绍，初步学会从多个角度赏析具体电影作品。结合具体电影作品进行分析，了解电影制作者个人精神选择对电影作品的影响。</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r>
              <w:rPr>
                <w:rFonts w:hint="eastAsia" w:ascii="宋体" w:hAnsi="宋体" w:eastAsia="宋体"/>
                <w:sz w:val="21"/>
                <w:szCs w:val="21"/>
                <w:lang w:val="en-US" w:eastAsia="zh-CN"/>
              </w:rPr>
              <w:t>实训</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电影艺术鉴赏</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通过电影艺术特征及基本表现规律的介绍，初步学会从多个角度赏析具体电影作品。结合具体电影作品进行分析，了解电影制作者个人精神选择对电影作品的影响。</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讲授、实训</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影评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讨论与总结</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对本门课程的一些重难点及补充问题</w:t>
            </w:r>
            <w:r>
              <w:rPr>
                <w:rFonts w:hint="eastAsia" w:ascii="宋体" w:hAnsi="宋体" w:eastAsia="宋体"/>
                <w:sz w:val="21"/>
                <w:szCs w:val="21"/>
                <w:lang w:val="en-US" w:eastAsia="zh-CN"/>
              </w:rPr>
              <w:t>进行讨论与回顾。</w:t>
            </w:r>
          </w:p>
        </w:tc>
        <w:tc>
          <w:tcPr>
            <w:tcW w:w="13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小组讨论</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19</w:t>
            </w:r>
          </w:p>
        </w:tc>
        <w:tc>
          <w:tcPr>
            <w:tcW w:w="1728"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讨论与总结</w:t>
            </w:r>
          </w:p>
        </w:tc>
        <w:tc>
          <w:tcPr>
            <w:tcW w:w="623" w:type="dxa"/>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967" w:type="dxa"/>
            <w:gridSpan w:val="3"/>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对本门课程的一些重难点及补充问题</w:t>
            </w:r>
            <w:r>
              <w:rPr>
                <w:rFonts w:hint="eastAsia" w:ascii="宋体" w:hAnsi="宋体" w:eastAsia="宋体"/>
                <w:sz w:val="21"/>
                <w:szCs w:val="21"/>
                <w:lang w:val="en-US" w:eastAsia="zh-CN"/>
              </w:rPr>
              <w:t>进行讨论与回顾。</w:t>
            </w:r>
          </w:p>
        </w:tc>
        <w:tc>
          <w:tcPr>
            <w:tcW w:w="1342" w:type="dxa"/>
            <w:gridSpan w:val="2"/>
            <w:tcBorders>
              <w:top w:val="single" w:color="auto" w:sz="4" w:space="0"/>
              <w:left w:val="single" w:color="auto" w:sz="4" w:space="0"/>
              <w:bottom w:val="single" w:color="auto" w:sz="4" w:space="0"/>
              <w:right w:val="single" w:color="auto" w:sz="4" w:space="0"/>
            </w:tcBorders>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小组讨论</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32</w:t>
            </w:r>
          </w:p>
        </w:tc>
        <w:tc>
          <w:tcPr>
            <w:tcW w:w="3967" w:type="dxa"/>
            <w:gridSpan w:val="3"/>
            <w:tcBorders>
              <w:top w:val="single" w:color="auto" w:sz="4" w:space="0"/>
            </w:tcBorders>
            <w:vAlign w:val="center"/>
          </w:tcPr>
          <w:p>
            <w:pPr>
              <w:spacing w:after="0" w:line="0" w:lineRule="atLeast"/>
              <w:rPr>
                <w:rFonts w:ascii="宋体" w:hAnsi="宋体" w:eastAsia="宋体"/>
                <w:sz w:val="21"/>
                <w:szCs w:val="21"/>
              </w:rPr>
            </w:pPr>
          </w:p>
        </w:tc>
        <w:tc>
          <w:tcPr>
            <w:tcW w:w="134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750"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2435"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750" w:type="dxa"/>
            <w:vAlign w:val="center"/>
          </w:tcPr>
          <w:p>
            <w:pPr>
              <w:spacing w:after="0" w:line="0" w:lineRule="atLeast"/>
              <w:rPr>
                <w:rFonts w:ascii="宋体" w:hAnsi="宋体" w:eastAsia="宋体"/>
                <w:sz w:val="21"/>
                <w:szCs w:val="21"/>
              </w:rPr>
            </w:pPr>
          </w:p>
        </w:tc>
        <w:tc>
          <w:tcPr>
            <w:tcW w:w="243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750" w:type="dxa"/>
            <w:vAlign w:val="center"/>
          </w:tcPr>
          <w:p>
            <w:pPr>
              <w:spacing w:after="0" w:line="0" w:lineRule="atLeast"/>
              <w:rPr>
                <w:rFonts w:ascii="宋体" w:hAnsi="宋体" w:eastAsia="宋体"/>
                <w:sz w:val="21"/>
                <w:szCs w:val="21"/>
              </w:rPr>
            </w:pPr>
          </w:p>
        </w:tc>
        <w:tc>
          <w:tcPr>
            <w:tcW w:w="243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750" w:type="dxa"/>
            <w:vAlign w:val="center"/>
          </w:tcPr>
          <w:p>
            <w:pPr>
              <w:spacing w:after="0" w:line="0" w:lineRule="atLeast"/>
              <w:rPr>
                <w:rFonts w:ascii="宋体" w:hAnsi="宋体" w:eastAsia="宋体"/>
                <w:sz w:val="21"/>
                <w:szCs w:val="21"/>
              </w:rPr>
            </w:pPr>
          </w:p>
        </w:tc>
        <w:tc>
          <w:tcPr>
            <w:tcW w:w="243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rPr>
            </w:pPr>
          </w:p>
        </w:tc>
        <w:tc>
          <w:tcPr>
            <w:tcW w:w="1728"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750" w:type="dxa"/>
            <w:vAlign w:val="center"/>
          </w:tcPr>
          <w:p>
            <w:pPr>
              <w:spacing w:after="0" w:line="0" w:lineRule="atLeast"/>
              <w:rPr>
                <w:rFonts w:ascii="宋体" w:hAnsi="宋体" w:eastAsia="宋体"/>
                <w:sz w:val="21"/>
                <w:szCs w:val="21"/>
              </w:rPr>
            </w:pPr>
          </w:p>
        </w:tc>
        <w:tc>
          <w:tcPr>
            <w:tcW w:w="243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750" w:type="dxa"/>
            <w:vAlign w:val="center"/>
          </w:tcPr>
          <w:p>
            <w:pPr>
              <w:spacing w:after="0" w:line="0" w:lineRule="atLeast"/>
              <w:rPr>
                <w:rFonts w:ascii="宋体" w:hAnsi="宋体" w:eastAsia="宋体"/>
                <w:sz w:val="21"/>
                <w:szCs w:val="21"/>
              </w:rPr>
            </w:pPr>
          </w:p>
        </w:tc>
        <w:tc>
          <w:tcPr>
            <w:tcW w:w="243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eastAsia="zh-CN"/>
              </w:rPr>
              <w:t>平時作业、</w:t>
            </w:r>
            <w:r>
              <w:rPr>
                <w:rFonts w:hint="eastAsia" w:ascii="宋体" w:hAnsi="宋体" w:eastAsia="宋体"/>
                <w:sz w:val="21"/>
                <w:szCs w:val="21"/>
                <w:lang w:val="en-US" w:eastAsia="zh-CN"/>
              </w:rPr>
              <w:t>课堂表现与出勤情况</w:t>
            </w:r>
          </w:p>
        </w:tc>
        <w:tc>
          <w:tcPr>
            <w:tcW w:w="5811" w:type="dxa"/>
            <w:gridSpan w:val="6"/>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每次作业的得分、</w:t>
            </w:r>
            <w:r>
              <w:rPr>
                <w:rFonts w:hint="eastAsia" w:ascii="宋体" w:hAnsi="宋体" w:eastAsia="宋体"/>
                <w:sz w:val="21"/>
                <w:szCs w:val="21"/>
                <w:lang w:val="en-US" w:eastAsia="zh-CN"/>
              </w:rPr>
              <w:t>课堂表现情况与学期出勤情况等</w:t>
            </w:r>
          </w:p>
        </w:tc>
        <w:tc>
          <w:tcPr>
            <w:tcW w:w="1583" w:type="dxa"/>
            <w:gridSpan w:val="2"/>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extDirection w:val="lrTb"/>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eastAsia="zh-CN"/>
              </w:rPr>
              <w:t>期末考试</w:t>
            </w:r>
          </w:p>
        </w:tc>
        <w:tc>
          <w:tcPr>
            <w:tcW w:w="5811" w:type="dxa"/>
            <w:gridSpan w:val="6"/>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期末考试成绩</w:t>
            </w:r>
          </w:p>
        </w:tc>
        <w:tc>
          <w:tcPr>
            <w:tcW w:w="1583" w:type="dxa"/>
            <w:gridSpan w:val="2"/>
            <w:textDirection w:val="lrTb"/>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lang w:val="en-US"/>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2018年9月18日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Adobe 明體 Std L"/>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EFF" w:usb1="C000785B" w:usb2="00000009" w:usb3="00000000" w:csb0="400001FF" w:csb1="FFFF0000"/>
  </w:font>
  <w:font w:name="Adobe 明體 Std L">
    <w:panose1 w:val="02020300000000000000"/>
    <w:charset w:val="88"/>
    <w:family w:val="auto"/>
    <w:pitch w:val="default"/>
    <w:sig w:usb0="00000001" w:usb1="1A0F1900" w:usb2="00000016" w:usb3="00000000" w:csb0="00120005"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4C62B30"/>
    <w:rsid w:val="06A14473"/>
    <w:rsid w:val="12CA338A"/>
    <w:rsid w:val="14FD6BD2"/>
    <w:rsid w:val="1C993322"/>
    <w:rsid w:val="28A055D5"/>
    <w:rsid w:val="28AD1D92"/>
    <w:rsid w:val="2A0E657E"/>
    <w:rsid w:val="2C23799B"/>
    <w:rsid w:val="39B143AA"/>
    <w:rsid w:val="41141397"/>
    <w:rsid w:val="41A274D2"/>
    <w:rsid w:val="450C0BB6"/>
    <w:rsid w:val="47F9093E"/>
    <w:rsid w:val="4B605529"/>
    <w:rsid w:val="4BDE6145"/>
    <w:rsid w:val="4C4840EC"/>
    <w:rsid w:val="517045BB"/>
    <w:rsid w:val="561D71F4"/>
    <w:rsid w:val="57D162E4"/>
    <w:rsid w:val="57F846C5"/>
    <w:rsid w:val="582C6C39"/>
    <w:rsid w:val="59333861"/>
    <w:rsid w:val="5C277DEA"/>
    <w:rsid w:val="5D106F8D"/>
    <w:rsid w:val="5E1D20D0"/>
    <w:rsid w:val="615A595F"/>
    <w:rsid w:val="62602DFF"/>
    <w:rsid w:val="698212F5"/>
    <w:rsid w:val="69DF2591"/>
    <w:rsid w:val="6A4B2305"/>
    <w:rsid w:val="6A8944B8"/>
    <w:rsid w:val="6EB54C0E"/>
    <w:rsid w:val="75B90593"/>
    <w:rsid w:val="76177CD2"/>
    <w:rsid w:val="7D4D6A20"/>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5"/>
    <w:qFormat/>
    <w:uiPriority w:val="0"/>
    <w:pPr>
      <w:spacing w:after="0"/>
    </w:pPr>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6"/>
    <w:qFormat/>
    <w:uiPriority w:val="0"/>
    <w:rPr>
      <w:rFonts w:ascii="CIDFont + F2" w:hAnsi="CIDFont + F2" w:eastAsia="CIDFont + F2" w:cs="CIDFont + F2"/>
      <w:color w:val="000000"/>
      <w:sz w:val="20"/>
      <w:szCs w:val="20"/>
    </w:rPr>
  </w:style>
  <w:style w:type="character" w:customStyle="1" w:styleId="12">
    <w:name w:val="页眉 Char"/>
    <w:basedOn w:val="6"/>
    <w:link w:val="5"/>
    <w:qFormat/>
    <w:uiPriority w:val="0"/>
    <w:rPr>
      <w:rFonts w:eastAsia="PMingLiU"/>
      <w:sz w:val="18"/>
      <w:szCs w:val="18"/>
      <w:lang w:eastAsia="en-US"/>
    </w:rPr>
  </w:style>
  <w:style w:type="character" w:customStyle="1" w:styleId="13">
    <w:name w:val="页脚 Char"/>
    <w:basedOn w:val="6"/>
    <w:link w:val="4"/>
    <w:qFormat/>
    <w:uiPriority w:val="0"/>
    <w:rPr>
      <w:rFonts w:eastAsia="PMingLiU"/>
      <w:sz w:val="18"/>
      <w:szCs w:val="18"/>
      <w:lang w:eastAsia="en-US"/>
    </w:rPr>
  </w:style>
  <w:style w:type="paragraph" w:customStyle="1" w:styleId="14">
    <w:name w:val="List Paragraph"/>
    <w:basedOn w:val="1"/>
    <w:unhideWhenUsed/>
    <w:qFormat/>
    <w:uiPriority w:val="34"/>
    <w:pPr>
      <w:ind w:firstLine="420" w:firstLineChars="200"/>
    </w:pPr>
  </w:style>
  <w:style w:type="character" w:customStyle="1" w:styleId="15">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812</Characters>
  <Lines>6</Lines>
  <Paragraphs>1</Paragraphs>
  <ScaleCrop>false</ScaleCrop>
  <LinksUpToDate>false</LinksUpToDate>
  <CharactersWithSpaces>953</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samsung</cp:lastModifiedBy>
  <cp:lastPrinted>2017-01-05T16:24:00Z</cp:lastPrinted>
  <dcterms:modified xsi:type="dcterms:W3CDTF">2018-09-20T03:04:28Z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